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6D" w:rsidRPr="00EC0246" w:rsidRDefault="00C21B89" w:rsidP="00EC0246">
      <w:pPr>
        <w:spacing w:after="0" w:line="240" w:lineRule="auto"/>
        <w:rPr>
          <w:rFonts w:asciiTheme="minorHAnsi" w:hAnsiTheme="minorHAnsi" w:cstheme="minorHAnsi"/>
        </w:rPr>
      </w:pPr>
    </w:p>
    <w:p w:rsidR="00261665" w:rsidRPr="00EC0246" w:rsidRDefault="00261665" w:rsidP="00EC0246">
      <w:pPr>
        <w:spacing w:after="0" w:line="240" w:lineRule="auto"/>
        <w:rPr>
          <w:rFonts w:asciiTheme="minorHAnsi" w:hAnsiTheme="minorHAnsi" w:cstheme="minorHAnsi"/>
        </w:rPr>
      </w:pPr>
    </w:p>
    <w:p w:rsidR="00EC0246" w:rsidRPr="00EC0246" w:rsidRDefault="00EC0246" w:rsidP="00EC0246">
      <w:pPr>
        <w:spacing w:after="0" w:line="240" w:lineRule="auto"/>
        <w:rPr>
          <w:rFonts w:asciiTheme="minorHAnsi" w:hAnsiTheme="minorHAnsi" w:cstheme="minorHAnsi"/>
          <w:color w:val="0B0C0C"/>
          <w:shd w:val="clear" w:color="auto" w:fill="FFFFFF"/>
        </w:rPr>
      </w:pPr>
      <w:r w:rsidRPr="00EC0246">
        <w:rPr>
          <w:rFonts w:asciiTheme="minorHAnsi" w:hAnsiTheme="minorHAnsi" w:cstheme="minorHAnsi"/>
          <w:color w:val="0B0C0C"/>
          <w:shd w:val="clear" w:color="auto" w:fill="FFFFFF"/>
        </w:rPr>
        <w:t>Boris Johnson</w:t>
      </w:r>
    </w:p>
    <w:p w:rsidR="00EC0246" w:rsidRPr="00EC0246" w:rsidRDefault="00EC0246" w:rsidP="00EC0246">
      <w:pPr>
        <w:spacing w:after="0" w:line="240" w:lineRule="auto"/>
        <w:rPr>
          <w:rFonts w:asciiTheme="minorHAnsi" w:hAnsiTheme="minorHAnsi" w:cstheme="minorHAnsi"/>
          <w:color w:val="0B0C0C"/>
          <w:shd w:val="clear" w:color="auto" w:fill="FFFFFF"/>
        </w:rPr>
      </w:pPr>
      <w:r w:rsidRPr="00EC0246">
        <w:rPr>
          <w:rFonts w:asciiTheme="minorHAnsi" w:hAnsiTheme="minorHAnsi" w:cstheme="minorHAnsi"/>
          <w:color w:val="0B0C0C"/>
          <w:shd w:val="clear" w:color="auto" w:fill="FFFFFF"/>
        </w:rPr>
        <w:t>Prime Minister</w:t>
      </w:r>
    </w:p>
    <w:p w:rsidR="00EC0246" w:rsidRPr="00EC0246" w:rsidRDefault="00EC0246" w:rsidP="00EC0246">
      <w:pPr>
        <w:spacing w:after="0" w:line="240" w:lineRule="auto"/>
        <w:rPr>
          <w:rFonts w:asciiTheme="minorHAnsi" w:hAnsiTheme="minorHAnsi" w:cstheme="minorHAnsi"/>
          <w:color w:val="0B0C0C"/>
          <w:shd w:val="clear" w:color="auto" w:fill="FFFFFF"/>
        </w:rPr>
      </w:pPr>
      <w:r w:rsidRPr="00EC0246">
        <w:rPr>
          <w:rFonts w:asciiTheme="minorHAnsi" w:hAnsiTheme="minorHAnsi" w:cstheme="minorHAnsi"/>
          <w:color w:val="0B0C0C"/>
          <w:shd w:val="clear" w:color="auto" w:fill="FFFFFF"/>
        </w:rPr>
        <w:t xml:space="preserve">10 Downing Street </w:t>
      </w:r>
    </w:p>
    <w:p w:rsidR="00261665" w:rsidRPr="00EC0246" w:rsidRDefault="00EC0246" w:rsidP="00EC0246">
      <w:pPr>
        <w:spacing w:after="0" w:line="240" w:lineRule="auto"/>
        <w:rPr>
          <w:rFonts w:asciiTheme="minorHAnsi" w:hAnsiTheme="minorHAnsi" w:cstheme="minorHAnsi"/>
        </w:rPr>
      </w:pPr>
      <w:r w:rsidRPr="00EC0246">
        <w:rPr>
          <w:rFonts w:asciiTheme="minorHAnsi" w:hAnsiTheme="minorHAnsi" w:cstheme="minorHAnsi"/>
          <w:color w:val="0B0C0C"/>
          <w:shd w:val="clear" w:color="auto" w:fill="FFFFFF"/>
        </w:rPr>
        <w:t>London</w:t>
      </w:r>
      <w:r w:rsidRPr="00EC0246">
        <w:rPr>
          <w:rStyle w:val="apple-converted-space"/>
          <w:rFonts w:asciiTheme="minorHAnsi" w:hAnsiTheme="minorHAnsi" w:cstheme="minorHAnsi"/>
          <w:color w:val="0B0C0C"/>
          <w:shd w:val="clear" w:color="auto" w:fill="FFFFFF"/>
        </w:rPr>
        <w:t> </w:t>
      </w:r>
      <w:r w:rsidRPr="00EC0246">
        <w:rPr>
          <w:rFonts w:asciiTheme="minorHAnsi" w:hAnsiTheme="minorHAnsi" w:cstheme="minorHAnsi"/>
          <w:color w:val="0B0C0C"/>
        </w:rPr>
        <w:br/>
      </w:r>
      <w:r w:rsidRPr="00EC0246">
        <w:rPr>
          <w:rFonts w:asciiTheme="minorHAnsi" w:hAnsiTheme="minorHAnsi" w:cstheme="minorHAnsi"/>
          <w:color w:val="0B0C0C"/>
          <w:shd w:val="clear" w:color="auto" w:fill="FFFFFF"/>
        </w:rPr>
        <w:t>SW1A 2AA</w:t>
      </w:r>
      <w:r w:rsidRPr="00EC0246">
        <w:rPr>
          <w:rStyle w:val="apple-converted-space"/>
          <w:rFonts w:asciiTheme="minorHAnsi" w:hAnsiTheme="minorHAnsi" w:cstheme="minorHAnsi"/>
          <w:color w:val="0B0C0C"/>
          <w:shd w:val="clear" w:color="auto" w:fill="FFFFFF"/>
        </w:rPr>
        <w:t> </w:t>
      </w:r>
    </w:p>
    <w:p w:rsidR="00E04008" w:rsidRDefault="00EC0246" w:rsidP="00EC0246">
      <w:pPr>
        <w:jc w:val="right"/>
        <w:rPr>
          <w:rFonts w:asciiTheme="minorHAnsi" w:hAnsiTheme="minorHAnsi" w:cstheme="minorHAnsi"/>
        </w:rPr>
      </w:pPr>
      <w:r>
        <w:rPr>
          <w:rFonts w:asciiTheme="minorHAnsi" w:hAnsiTheme="minorHAnsi" w:cstheme="minorHAnsi"/>
        </w:rPr>
        <w:t>25 June 2020</w:t>
      </w:r>
    </w:p>
    <w:p w:rsidR="00E04008" w:rsidRDefault="00E04008" w:rsidP="009C4383">
      <w:pPr>
        <w:jc w:val="both"/>
        <w:rPr>
          <w:rFonts w:asciiTheme="minorHAnsi" w:hAnsiTheme="minorHAnsi" w:cstheme="minorHAnsi"/>
        </w:rPr>
      </w:pPr>
    </w:p>
    <w:p w:rsidR="00261665" w:rsidRDefault="00261665" w:rsidP="009C4383">
      <w:pPr>
        <w:jc w:val="both"/>
        <w:rPr>
          <w:rFonts w:asciiTheme="minorHAnsi" w:hAnsiTheme="minorHAnsi" w:cstheme="minorHAnsi"/>
        </w:rPr>
      </w:pPr>
      <w:r w:rsidRPr="00261665">
        <w:rPr>
          <w:rFonts w:asciiTheme="minorHAnsi" w:hAnsiTheme="minorHAnsi" w:cstheme="minorHAnsi"/>
        </w:rPr>
        <w:t>Dear Prime Minister</w:t>
      </w:r>
      <w:r w:rsidR="00074286">
        <w:rPr>
          <w:rFonts w:asciiTheme="minorHAnsi" w:hAnsiTheme="minorHAnsi" w:cstheme="minorHAnsi"/>
        </w:rPr>
        <w:t>,</w:t>
      </w:r>
    </w:p>
    <w:p w:rsidR="00F907FA" w:rsidRDefault="00261665" w:rsidP="009C4383">
      <w:pPr>
        <w:jc w:val="both"/>
        <w:rPr>
          <w:rFonts w:asciiTheme="minorHAnsi" w:hAnsiTheme="minorHAnsi" w:cstheme="minorHAnsi"/>
        </w:rPr>
      </w:pPr>
      <w:r>
        <w:rPr>
          <w:rFonts w:asciiTheme="minorHAnsi" w:hAnsiTheme="minorHAnsi" w:cstheme="minorHAnsi"/>
        </w:rPr>
        <w:t xml:space="preserve">On 20 May 2020 you told the House of Commons that </w:t>
      </w:r>
    </w:p>
    <w:p w:rsidR="00F907FA" w:rsidRDefault="00261665" w:rsidP="009C4383">
      <w:pPr>
        <w:ind w:firstLine="720"/>
        <w:jc w:val="both"/>
        <w:rPr>
          <w:rFonts w:asciiTheme="minorHAnsi" w:hAnsiTheme="minorHAnsi" w:cstheme="minorHAnsi"/>
        </w:rPr>
      </w:pPr>
      <w:r>
        <w:rPr>
          <w:rFonts w:asciiTheme="minorHAnsi" w:hAnsiTheme="minorHAnsi" w:cstheme="minorHAnsi"/>
        </w:rPr>
        <w:t xml:space="preserve">‘131 care workers’ deaths had been sadly reported involving covid-19’ </w:t>
      </w:r>
    </w:p>
    <w:p w:rsidR="00F907FA" w:rsidRDefault="009C4383" w:rsidP="009C4383">
      <w:pPr>
        <w:jc w:val="both"/>
        <w:rPr>
          <w:rFonts w:asciiTheme="minorHAnsi" w:hAnsiTheme="minorHAnsi" w:cstheme="minorHAnsi"/>
        </w:rPr>
      </w:pPr>
      <w:r>
        <w:rPr>
          <w:rFonts w:asciiTheme="minorHAnsi" w:hAnsiTheme="minorHAnsi" w:cstheme="minorHAnsi"/>
        </w:rPr>
        <w:t>I</w:t>
      </w:r>
      <w:r w:rsidR="00261665">
        <w:rPr>
          <w:rFonts w:asciiTheme="minorHAnsi" w:hAnsiTheme="minorHAnsi" w:cstheme="minorHAnsi"/>
        </w:rPr>
        <w:t>n response to a question from Tom Randall MP</w:t>
      </w:r>
      <w:r w:rsidR="00F907FA">
        <w:rPr>
          <w:rFonts w:asciiTheme="minorHAnsi" w:hAnsiTheme="minorHAnsi" w:cstheme="minorHAnsi"/>
        </w:rPr>
        <w:t xml:space="preserve">, </w:t>
      </w:r>
      <w:r w:rsidR="00261665">
        <w:rPr>
          <w:rFonts w:asciiTheme="minorHAnsi" w:hAnsiTheme="minorHAnsi" w:cstheme="minorHAnsi"/>
        </w:rPr>
        <w:t xml:space="preserve">you said </w:t>
      </w:r>
    </w:p>
    <w:p w:rsidR="00E3397A" w:rsidRDefault="00261665" w:rsidP="009C4383">
      <w:pPr>
        <w:ind w:left="720"/>
        <w:jc w:val="both"/>
        <w:rPr>
          <w:rFonts w:asciiTheme="minorHAnsi" w:hAnsiTheme="minorHAnsi" w:cstheme="minorHAnsi"/>
        </w:rPr>
      </w:pPr>
      <w:r>
        <w:rPr>
          <w:rFonts w:asciiTheme="minorHAnsi" w:hAnsiTheme="minorHAnsi" w:cstheme="minorHAnsi"/>
        </w:rPr>
        <w:t>‘We are thinking how to recognise the work of healthcare staff, carers and many others</w:t>
      </w:r>
      <w:r w:rsidR="00E3397A">
        <w:rPr>
          <w:rFonts w:asciiTheme="minorHAnsi" w:hAnsiTheme="minorHAnsi" w:cstheme="minorHAnsi"/>
        </w:rPr>
        <w:t xml:space="preserve"> and we are engaging with staff and employers at the present time’</w:t>
      </w:r>
    </w:p>
    <w:p w:rsidR="00F907FA" w:rsidRDefault="00F907FA" w:rsidP="009C4383">
      <w:pPr>
        <w:jc w:val="both"/>
        <w:rPr>
          <w:rFonts w:asciiTheme="minorHAnsi" w:hAnsiTheme="minorHAnsi" w:cstheme="minorHAnsi"/>
        </w:rPr>
      </w:pPr>
      <w:r>
        <w:rPr>
          <w:rFonts w:asciiTheme="minorHAnsi" w:hAnsiTheme="minorHAnsi" w:cstheme="minorHAnsi"/>
        </w:rPr>
        <w:t xml:space="preserve">The Welsh Government has decided that it wants to recognise the role of those employed in care homes through a one-off payment of £500. </w:t>
      </w:r>
    </w:p>
    <w:p w:rsidR="009C4383" w:rsidRDefault="009C4383" w:rsidP="009C4383">
      <w:pPr>
        <w:jc w:val="both"/>
        <w:rPr>
          <w:rFonts w:asciiTheme="minorHAnsi" w:hAnsiTheme="minorHAnsi" w:cstheme="minorHAnsi"/>
        </w:rPr>
      </w:pPr>
      <w:r>
        <w:rPr>
          <w:rFonts w:asciiTheme="minorHAnsi" w:hAnsiTheme="minorHAnsi" w:cstheme="minorHAnsi"/>
        </w:rPr>
        <w:t>The majority of people working in care homes are on low incomes and will be in receipt of Universal Credit.</w:t>
      </w:r>
    </w:p>
    <w:p w:rsidR="00FF05F7" w:rsidRDefault="00FF05F7" w:rsidP="009C4383">
      <w:pPr>
        <w:jc w:val="both"/>
        <w:rPr>
          <w:rFonts w:asciiTheme="minorHAnsi" w:hAnsiTheme="minorHAnsi" w:cstheme="minorHAnsi"/>
        </w:rPr>
      </w:pPr>
      <w:r>
        <w:rPr>
          <w:rFonts w:asciiTheme="minorHAnsi" w:hAnsiTheme="minorHAnsi" w:cstheme="minorHAnsi"/>
        </w:rPr>
        <w:t>According to an ITV report dated 3 June a Treasury spokesperson said that payments in connection with employment are chargeable to tax and NICs unless specifically exempt.</w:t>
      </w:r>
    </w:p>
    <w:p w:rsidR="00F70487" w:rsidRDefault="00FF05F7" w:rsidP="009C4383">
      <w:pPr>
        <w:jc w:val="both"/>
        <w:rPr>
          <w:rFonts w:asciiTheme="minorHAnsi" w:hAnsiTheme="minorHAnsi" w:cstheme="minorHAnsi"/>
        </w:rPr>
      </w:pPr>
      <w:r>
        <w:rPr>
          <w:rFonts w:asciiTheme="minorHAnsi" w:hAnsiTheme="minorHAnsi" w:cstheme="minorHAnsi"/>
        </w:rPr>
        <w:t>As things currently stand this means that a full time home care worker will be liable for income tax of £100 and NICS of £60. Home care workers are also likely to be in receipt of Universal Credit because their incomes are so low. They also stand to see a cut to their Universal Credit of £214.</w:t>
      </w:r>
      <w:r w:rsidR="00F70487">
        <w:rPr>
          <w:rFonts w:asciiTheme="minorHAnsi" w:hAnsiTheme="minorHAnsi" w:cstheme="minorHAnsi"/>
        </w:rPr>
        <w:t>20. This means that they would actually receive just £125.80.</w:t>
      </w:r>
    </w:p>
    <w:p w:rsidR="00E04008" w:rsidRDefault="00E04008" w:rsidP="00E04008">
      <w:pPr>
        <w:jc w:val="both"/>
        <w:rPr>
          <w:rFonts w:asciiTheme="minorHAnsi" w:hAnsiTheme="minorHAnsi" w:cstheme="minorHAnsi"/>
        </w:rPr>
      </w:pPr>
      <w:r>
        <w:rPr>
          <w:rFonts w:asciiTheme="minorHAnsi" w:hAnsiTheme="minorHAnsi" w:cstheme="minorHAnsi"/>
        </w:rPr>
        <w:t>The position of part time care workers depends on their gross annual income and is illustrated in the table and graph below</w:t>
      </w:r>
      <w:r w:rsidR="00475D75">
        <w:rPr>
          <w:rFonts w:asciiTheme="minorHAnsi" w:hAnsiTheme="minorHAnsi" w:cstheme="minorHAnsi"/>
        </w:rPr>
        <w:t xml:space="preserve"> and examples are detailed in the appendix</w:t>
      </w:r>
      <w:r>
        <w:rPr>
          <w:rFonts w:asciiTheme="minorHAnsi" w:hAnsiTheme="minorHAnsi" w:cstheme="minorHAnsi"/>
        </w:rPr>
        <w:t>.</w:t>
      </w:r>
    </w:p>
    <w:p w:rsidR="00E04008" w:rsidRPr="00475D75" w:rsidRDefault="00E04008" w:rsidP="00E04008">
      <w:pPr>
        <w:jc w:val="both"/>
        <w:rPr>
          <w:rFonts w:asciiTheme="minorHAnsi" w:hAnsiTheme="minorHAnsi" w:cstheme="minorHAnsi"/>
          <w:u w:val="single"/>
        </w:rPr>
      </w:pPr>
      <w:r w:rsidRPr="00475D75">
        <w:rPr>
          <w:rFonts w:asciiTheme="minorHAnsi" w:hAnsiTheme="minorHAnsi" w:cstheme="minorHAnsi"/>
          <w:u w:val="single"/>
        </w:rPr>
        <w:t>Table showing the effect of income tax, national insurance contributions (NICs) and reductions in Universal Credit</w:t>
      </w:r>
    </w:p>
    <w:p w:rsidR="00E04008" w:rsidRDefault="00E04008" w:rsidP="00E04008">
      <w:pPr>
        <w:jc w:val="both"/>
        <w:rPr>
          <w:rFonts w:asciiTheme="minorHAnsi" w:hAnsiTheme="minorHAnsi" w:cstheme="minorHAnsi"/>
        </w:rPr>
      </w:pPr>
    </w:p>
    <w:tbl>
      <w:tblPr>
        <w:tblStyle w:val="TableGrid"/>
        <w:tblW w:w="8704" w:type="dxa"/>
        <w:tblInd w:w="720" w:type="dxa"/>
        <w:tblLook w:val="04A0"/>
      </w:tblPr>
      <w:tblGrid>
        <w:gridCol w:w="2440"/>
        <w:gridCol w:w="2088"/>
        <w:gridCol w:w="2088"/>
        <w:gridCol w:w="2088"/>
      </w:tblGrid>
      <w:tr w:rsidR="00E04008" w:rsidTr="00E04008">
        <w:tc>
          <w:tcPr>
            <w:tcW w:w="0" w:type="auto"/>
          </w:tcPr>
          <w:p w:rsidR="00E04008" w:rsidRDefault="00E04008" w:rsidP="003C1116">
            <w:pPr>
              <w:jc w:val="both"/>
              <w:rPr>
                <w:rFonts w:asciiTheme="minorHAnsi" w:hAnsiTheme="minorHAnsi" w:cstheme="minorHAnsi"/>
              </w:rPr>
            </w:pPr>
          </w:p>
        </w:tc>
        <w:tc>
          <w:tcPr>
            <w:tcW w:w="0" w:type="auto"/>
          </w:tcPr>
          <w:p w:rsidR="00E04008" w:rsidRDefault="00E04008" w:rsidP="003C1116">
            <w:pPr>
              <w:jc w:val="both"/>
              <w:rPr>
                <w:rFonts w:asciiTheme="minorHAnsi" w:hAnsiTheme="minorHAnsi" w:cstheme="minorHAnsi"/>
              </w:rPr>
            </w:pPr>
            <w:r>
              <w:rPr>
                <w:rFonts w:asciiTheme="minorHAnsi" w:hAnsiTheme="minorHAnsi" w:cstheme="minorHAnsi"/>
              </w:rPr>
              <w:t xml:space="preserve">Gross annual income </w:t>
            </w:r>
          </w:p>
          <w:p w:rsidR="00E04008" w:rsidRDefault="00E04008" w:rsidP="003C1116">
            <w:pPr>
              <w:jc w:val="both"/>
              <w:rPr>
                <w:rFonts w:asciiTheme="minorHAnsi" w:hAnsiTheme="minorHAnsi" w:cstheme="minorHAnsi"/>
              </w:rPr>
            </w:pPr>
            <w:r>
              <w:rPr>
                <w:rFonts w:asciiTheme="minorHAnsi" w:hAnsiTheme="minorHAnsi" w:cstheme="minorHAnsi"/>
              </w:rPr>
              <w:t>over £12,500</w:t>
            </w:r>
          </w:p>
        </w:tc>
        <w:tc>
          <w:tcPr>
            <w:tcW w:w="0" w:type="auto"/>
          </w:tcPr>
          <w:p w:rsidR="00E04008" w:rsidRDefault="00E04008" w:rsidP="003C1116">
            <w:pPr>
              <w:jc w:val="both"/>
              <w:rPr>
                <w:rFonts w:asciiTheme="minorHAnsi" w:hAnsiTheme="minorHAnsi" w:cstheme="minorHAnsi"/>
              </w:rPr>
            </w:pPr>
            <w:r>
              <w:rPr>
                <w:rFonts w:asciiTheme="minorHAnsi" w:hAnsiTheme="minorHAnsi" w:cstheme="minorHAnsi"/>
              </w:rPr>
              <w:t>Gross annual income</w:t>
            </w:r>
          </w:p>
          <w:p w:rsidR="00E04008" w:rsidRDefault="00E04008" w:rsidP="003C1116">
            <w:pPr>
              <w:jc w:val="both"/>
              <w:rPr>
                <w:rFonts w:asciiTheme="minorHAnsi" w:hAnsiTheme="minorHAnsi" w:cstheme="minorHAnsi"/>
              </w:rPr>
            </w:pPr>
            <w:r>
              <w:rPr>
                <w:rFonts w:asciiTheme="minorHAnsi" w:hAnsiTheme="minorHAnsi" w:cstheme="minorHAnsi"/>
              </w:rPr>
              <w:t>£9,504 to £12,000</w:t>
            </w:r>
          </w:p>
        </w:tc>
        <w:tc>
          <w:tcPr>
            <w:tcW w:w="0" w:type="auto"/>
          </w:tcPr>
          <w:p w:rsidR="00E04008" w:rsidRDefault="00E04008" w:rsidP="003C1116">
            <w:pPr>
              <w:jc w:val="both"/>
              <w:rPr>
                <w:rFonts w:asciiTheme="minorHAnsi" w:hAnsiTheme="minorHAnsi" w:cstheme="minorHAnsi"/>
              </w:rPr>
            </w:pPr>
            <w:r>
              <w:rPr>
                <w:rFonts w:asciiTheme="minorHAnsi" w:hAnsiTheme="minorHAnsi" w:cstheme="minorHAnsi"/>
              </w:rPr>
              <w:t>Gross annual income</w:t>
            </w:r>
          </w:p>
          <w:p w:rsidR="00E04008" w:rsidRDefault="00E04008" w:rsidP="003C1116">
            <w:pPr>
              <w:jc w:val="both"/>
              <w:rPr>
                <w:rFonts w:asciiTheme="minorHAnsi" w:hAnsiTheme="minorHAnsi" w:cstheme="minorHAnsi"/>
              </w:rPr>
            </w:pPr>
            <w:r>
              <w:rPr>
                <w:rFonts w:asciiTheme="minorHAnsi" w:hAnsiTheme="minorHAnsi" w:cstheme="minorHAnsi"/>
              </w:rPr>
              <w:t xml:space="preserve">below £9,0004 </w:t>
            </w:r>
          </w:p>
        </w:tc>
      </w:tr>
      <w:tr w:rsidR="00E04008" w:rsidTr="00E04008">
        <w:tc>
          <w:tcPr>
            <w:tcW w:w="0" w:type="auto"/>
          </w:tcPr>
          <w:p w:rsidR="00E04008" w:rsidRDefault="00E04008" w:rsidP="003C1116">
            <w:pPr>
              <w:jc w:val="both"/>
              <w:rPr>
                <w:rFonts w:asciiTheme="minorHAnsi" w:hAnsiTheme="minorHAnsi" w:cstheme="minorHAnsi"/>
              </w:rPr>
            </w:pPr>
            <w:r>
              <w:rPr>
                <w:rFonts w:asciiTheme="minorHAnsi" w:hAnsiTheme="minorHAnsi" w:cstheme="minorHAnsi"/>
              </w:rPr>
              <w:t>Income Tax</w:t>
            </w:r>
          </w:p>
        </w:tc>
        <w:tc>
          <w:tcPr>
            <w:tcW w:w="0" w:type="auto"/>
          </w:tcPr>
          <w:p w:rsidR="00E04008" w:rsidRPr="00F70487" w:rsidRDefault="00E04008" w:rsidP="003C1116">
            <w:pPr>
              <w:pStyle w:val="ListParagraph"/>
              <w:numPr>
                <w:ilvl w:val="0"/>
                <w:numId w:val="1"/>
              </w:numPr>
              <w:jc w:val="both"/>
              <w:rPr>
                <w:rFonts w:asciiTheme="minorHAnsi" w:hAnsiTheme="minorHAnsi" w:cstheme="minorHAnsi"/>
                <w:color w:val="FF0000"/>
              </w:rPr>
            </w:pPr>
            <w:r w:rsidRPr="00F70487">
              <w:rPr>
                <w:rFonts w:asciiTheme="minorHAnsi" w:hAnsiTheme="minorHAnsi" w:cstheme="minorHAnsi"/>
                <w:color w:val="FF0000"/>
              </w:rPr>
              <w:t>£100</w:t>
            </w:r>
          </w:p>
        </w:tc>
        <w:tc>
          <w:tcPr>
            <w:tcW w:w="0" w:type="auto"/>
          </w:tcPr>
          <w:p w:rsidR="00E04008" w:rsidRPr="00BD686A" w:rsidRDefault="00BD686A" w:rsidP="00BD686A">
            <w:pPr>
              <w:pStyle w:val="ListParagraph"/>
              <w:numPr>
                <w:ilvl w:val="0"/>
                <w:numId w:val="1"/>
              </w:numPr>
              <w:jc w:val="both"/>
              <w:rPr>
                <w:rFonts w:asciiTheme="minorHAnsi" w:hAnsiTheme="minorHAnsi" w:cstheme="minorHAnsi"/>
              </w:rPr>
            </w:pPr>
            <w:r w:rsidRPr="00BD686A">
              <w:rPr>
                <w:rFonts w:asciiTheme="minorHAnsi" w:hAnsiTheme="minorHAnsi" w:cstheme="minorHAnsi"/>
              </w:rPr>
              <w:t>£0.00</w:t>
            </w:r>
          </w:p>
        </w:tc>
        <w:tc>
          <w:tcPr>
            <w:tcW w:w="0" w:type="auto"/>
          </w:tcPr>
          <w:p w:rsidR="00E04008" w:rsidRPr="00BD686A" w:rsidRDefault="00BD686A" w:rsidP="00BD686A">
            <w:pPr>
              <w:pStyle w:val="ListParagraph"/>
              <w:numPr>
                <w:ilvl w:val="0"/>
                <w:numId w:val="1"/>
              </w:numPr>
              <w:jc w:val="both"/>
              <w:rPr>
                <w:rFonts w:asciiTheme="minorHAnsi" w:hAnsiTheme="minorHAnsi" w:cstheme="minorHAnsi"/>
              </w:rPr>
            </w:pPr>
            <w:r>
              <w:rPr>
                <w:rFonts w:asciiTheme="minorHAnsi" w:hAnsiTheme="minorHAnsi" w:cstheme="minorHAnsi"/>
              </w:rPr>
              <w:t>£0.00</w:t>
            </w:r>
          </w:p>
        </w:tc>
      </w:tr>
      <w:tr w:rsidR="00E04008" w:rsidTr="00E04008">
        <w:tc>
          <w:tcPr>
            <w:tcW w:w="0" w:type="auto"/>
          </w:tcPr>
          <w:p w:rsidR="00E04008" w:rsidRDefault="00E04008" w:rsidP="003C1116">
            <w:pPr>
              <w:jc w:val="both"/>
              <w:rPr>
                <w:rFonts w:asciiTheme="minorHAnsi" w:hAnsiTheme="minorHAnsi" w:cstheme="minorHAnsi"/>
              </w:rPr>
            </w:pPr>
            <w:r>
              <w:rPr>
                <w:rFonts w:asciiTheme="minorHAnsi" w:hAnsiTheme="minorHAnsi" w:cstheme="minorHAnsi"/>
              </w:rPr>
              <w:t>NICs</w:t>
            </w:r>
          </w:p>
        </w:tc>
        <w:tc>
          <w:tcPr>
            <w:tcW w:w="0" w:type="auto"/>
          </w:tcPr>
          <w:p w:rsidR="00E04008" w:rsidRPr="00F70487" w:rsidRDefault="00E04008" w:rsidP="003C1116">
            <w:pPr>
              <w:pStyle w:val="ListParagraph"/>
              <w:numPr>
                <w:ilvl w:val="0"/>
                <w:numId w:val="1"/>
              </w:numPr>
              <w:jc w:val="both"/>
              <w:rPr>
                <w:rFonts w:asciiTheme="minorHAnsi" w:hAnsiTheme="minorHAnsi" w:cstheme="minorHAnsi"/>
                <w:color w:val="FF0000"/>
              </w:rPr>
            </w:pPr>
            <w:r w:rsidRPr="00F70487">
              <w:rPr>
                <w:rFonts w:asciiTheme="minorHAnsi" w:hAnsiTheme="minorHAnsi" w:cstheme="minorHAnsi"/>
                <w:color w:val="FF0000"/>
              </w:rPr>
              <w:t>£60</w:t>
            </w:r>
          </w:p>
        </w:tc>
        <w:tc>
          <w:tcPr>
            <w:tcW w:w="0" w:type="auto"/>
          </w:tcPr>
          <w:p w:rsidR="00E04008" w:rsidRPr="00F70487" w:rsidRDefault="00E04008" w:rsidP="003C1116">
            <w:pPr>
              <w:pStyle w:val="ListParagraph"/>
              <w:numPr>
                <w:ilvl w:val="0"/>
                <w:numId w:val="1"/>
              </w:numPr>
              <w:jc w:val="both"/>
              <w:rPr>
                <w:rFonts w:asciiTheme="minorHAnsi" w:hAnsiTheme="minorHAnsi" w:cstheme="minorHAnsi"/>
                <w:color w:val="FF0000"/>
              </w:rPr>
            </w:pPr>
            <w:r w:rsidRPr="00F70487">
              <w:rPr>
                <w:rFonts w:asciiTheme="minorHAnsi" w:hAnsiTheme="minorHAnsi" w:cstheme="minorHAnsi"/>
                <w:color w:val="FF0000"/>
              </w:rPr>
              <w:t>£60</w:t>
            </w:r>
          </w:p>
        </w:tc>
        <w:tc>
          <w:tcPr>
            <w:tcW w:w="0" w:type="auto"/>
          </w:tcPr>
          <w:p w:rsidR="00E04008" w:rsidRPr="00BD686A" w:rsidRDefault="00BD686A" w:rsidP="00BD686A">
            <w:pPr>
              <w:pStyle w:val="ListParagraph"/>
              <w:numPr>
                <w:ilvl w:val="0"/>
                <w:numId w:val="1"/>
              </w:numPr>
              <w:jc w:val="both"/>
              <w:rPr>
                <w:rFonts w:asciiTheme="minorHAnsi" w:hAnsiTheme="minorHAnsi" w:cstheme="minorHAnsi"/>
              </w:rPr>
            </w:pPr>
            <w:r>
              <w:rPr>
                <w:rFonts w:asciiTheme="minorHAnsi" w:hAnsiTheme="minorHAnsi" w:cstheme="minorHAnsi"/>
              </w:rPr>
              <w:t>£0.00</w:t>
            </w:r>
          </w:p>
        </w:tc>
      </w:tr>
      <w:tr w:rsidR="00E04008" w:rsidTr="00E04008">
        <w:tc>
          <w:tcPr>
            <w:tcW w:w="0" w:type="auto"/>
          </w:tcPr>
          <w:p w:rsidR="00E04008" w:rsidRDefault="00E04008" w:rsidP="003C1116">
            <w:pPr>
              <w:jc w:val="both"/>
              <w:rPr>
                <w:rFonts w:asciiTheme="minorHAnsi" w:hAnsiTheme="minorHAnsi" w:cstheme="minorHAnsi"/>
              </w:rPr>
            </w:pPr>
            <w:r>
              <w:rPr>
                <w:rFonts w:asciiTheme="minorHAnsi" w:hAnsiTheme="minorHAnsi" w:cstheme="minorHAnsi"/>
              </w:rPr>
              <w:t>Cut to Universal Credit</w:t>
            </w:r>
          </w:p>
        </w:tc>
        <w:tc>
          <w:tcPr>
            <w:tcW w:w="0" w:type="auto"/>
          </w:tcPr>
          <w:p w:rsidR="00E04008" w:rsidRPr="00F70487" w:rsidRDefault="00E04008" w:rsidP="003C1116">
            <w:pPr>
              <w:pStyle w:val="ListParagraph"/>
              <w:numPr>
                <w:ilvl w:val="0"/>
                <w:numId w:val="1"/>
              </w:numPr>
              <w:jc w:val="both"/>
              <w:rPr>
                <w:rFonts w:asciiTheme="minorHAnsi" w:hAnsiTheme="minorHAnsi" w:cstheme="minorHAnsi"/>
                <w:color w:val="FF0000"/>
              </w:rPr>
            </w:pPr>
            <w:r w:rsidRPr="00F70487">
              <w:rPr>
                <w:rFonts w:asciiTheme="minorHAnsi" w:hAnsiTheme="minorHAnsi" w:cstheme="minorHAnsi"/>
                <w:color w:val="FF0000"/>
              </w:rPr>
              <w:t>£214.20</w:t>
            </w:r>
          </w:p>
        </w:tc>
        <w:tc>
          <w:tcPr>
            <w:tcW w:w="0" w:type="auto"/>
          </w:tcPr>
          <w:p w:rsidR="00E04008" w:rsidRPr="00F70487" w:rsidRDefault="00E04008" w:rsidP="003C1116">
            <w:pPr>
              <w:pStyle w:val="ListParagraph"/>
              <w:numPr>
                <w:ilvl w:val="0"/>
                <w:numId w:val="1"/>
              </w:numPr>
              <w:jc w:val="both"/>
              <w:rPr>
                <w:rFonts w:asciiTheme="minorHAnsi" w:hAnsiTheme="minorHAnsi" w:cstheme="minorHAnsi"/>
                <w:color w:val="FF0000"/>
              </w:rPr>
            </w:pPr>
            <w:r w:rsidRPr="00F70487">
              <w:rPr>
                <w:rFonts w:asciiTheme="minorHAnsi" w:hAnsiTheme="minorHAnsi" w:cstheme="minorHAnsi"/>
                <w:color w:val="FF0000"/>
              </w:rPr>
              <w:t>£277.20</w:t>
            </w:r>
          </w:p>
        </w:tc>
        <w:tc>
          <w:tcPr>
            <w:tcW w:w="0" w:type="auto"/>
          </w:tcPr>
          <w:p w:rsidR="00E04008" w:rsidRPr="00F70487" w:rsidRDefault="00E04008" w:rsidP="003C1116">
            <w:pPr>
              <w:pStyle w:val="ListParagraph"/>
              <w:numPr>
                <w:ilvl w:val="0"/>
                <w:numId w:val="1"/>
              </w:numPr>
              <w:jc w:val="both"/>
              <w:rPr>
                <w:rFonts w:asciiTheme="minorHAnsi" w:hAnsiTheme="minorHAnsi" w:cstheme="minorHAnsi"/>
                <w:color w:val="FF0000"/>
              </w:rPr>
            </w:pPr>
            <w:r w:rsidRPr="00F70487">
              <w:rPr>
                <w:rFonts w:asciiTheme="minorHAnsi" w:hAnsiTheme="minorHAnsi" w:cstheme="minorHAnsi"/>
                <w:color w:val="FF0000"/>
              </w:rPr>
              <w:t>£</w:t>
            </w:r>
            <w:r>
              <w:rPr>
                <w:rFonts w:asciiTheme="minorHAnsi" w:hAnsiTheme="minorHAnsi" w:cstheme="minorHAnsi"/>
                <w:color w:val="FF0000"/>
              </w:rPr>
              <w:t>31</w:t>
            </w:r>
            <w:r w:rsidRPr="00F70487">
              <w:rPr>
                <w:rFonts w:asciiTheme="minorHAnsi" w:hAnsiTheme="minorHAnsi" w:cstheme="minorHAnsi"/>
                <w:color w:val="FF0000"/>
              </w:rPr>
              <w:t>5.00</w:t>
            </w:r>
          </w:p>
        </w:tc>
      </w:tr>
      <w:tr w:rsidR="00E04008" w:rsidTr="00E04008">
        <w:tc>
          <w:tcPr>
            <w:tcW w:w="0" w:type="auto"/>
          </w:tcPr>
          <w:p w:rsidR="00E04008" w:rsidRDefault="00E04008" w:rsidP="003C1116">
            <w:pPr>
              <w:jc w:val="both"/>
              <w:rPr>
                <w:rFonts w:asciiTheme="minorHAnsi" w:hAnsiTheme="minorHAnsi" w:cstheme="minorHAnsi"/>
              </w:rPr>
            </w:pPr>
            <w:r>
              <w:rPr>
                <w:rFonts w:asciiTheme="minorHAnsi" w:hAnsiTheme="minorHAnsi" w:cstheme="minorHAnsi"/>
              </w:rPr>
              <w:t>Actual payment received</w:t>
            </w:r>
          </w:p>
        </w:tc>
        <w:tc>
          <w:tcPr>
            <w:tcW w:w="0" w:type="auto"/>
          </w:tcPr>
          <w:p w:rsidR="00E04008" w:rsidRPr="00F70487" w:rsidRDefault="00E04008" w:rsidP="003C1116">
            <w:pPr>
              <w:ind w:left="360"/>
              <w:jc w:val="both"/>
              <w:rPr>
                <w:rFonts w:asciiTheme="minorHAnsi" w:hAnsiTheme="minorHAnsi" w:cstheme="minorHAnsi"/>
              </w:rPr>
            </w:pPr>
            <w:r>
              <w:rPr>
                <w:rFonts w:asciiTheme="minorHAnsi" w:hAnsiTheme="minorHAnsi" w:cstheme="minorHAnsi"/>
              </w:rPr>
              <w:t>£125.80</w:t>
            </w:r>
          </w:p>
        </w:tc>
        <w:tc>
          <w:tcPr>
            <w:tcW w:w="0" w:type="auto"/>
          </w:tcPr>
          <w:p w:rsidR="00E04008" w:rsidRPr="00F70487" w:rsidRDefault="00E04008" w:rsidP="003C1116">
            <w:pPr>
              <w:ind w:left="360"/>
              <w:jc w:val="both"/>
              <w:rPr>
                <w:rFonts w:asciiTheme="minorHAnsi" w:hAnsiTheme="minorHAnsi" w:cstheme="minorHAnsi"/>
              </w:rPr>
            </w:pPr>
            <w:r>
              <w:rPr>
                <w:rFonts w:asciiTheme="minorHAnsi" w:hAnsiTheme="minorHAnsi" w:cstheme="minorHAnsi"/>
              </w:rPr>
              <w:t>£162.80</w:t>
            </w:r>
          </w:p>
        </w:tc>
        <w:tc>
          <w:tcPr>
            <w:tcW w:w="0" w:type="auto"/>
          </w:tcPr>
          <w:p w:rsidR="00E04008" w:rsidRPr="00F70487" w:rsidRDefault="00E04008" w:rsidP="003C1116">
            <w:pPr>
              <w:ind w:left="360"/>
              <w:jc w:val="both"/>
              <w:rPr>
                <w:rFonts w:asciiTheme="minorHAnsi" w:hAnsiTheme="minorHAnsi" w:cstheme="minorHAnsi"/>
              </w:rPr>
            </w:pPr>
            <w:r>
              <w:rPr>
                <w:rFonts w:asciiTheme="minorHAnsi" w:hAnsiTheme="minorHAnsi" w:cstheme="minorHAnsi"/>
              </w:rPr>
              <w:t>£185.00</w:t>
            </w:r>
          </w:p>
        </w:tc>
      </w:tr>
    </w:tbl>
    <w:p w:rsidR="00E04008" w:rsidRDefault="00E04008" w:rsidP="00E04008">
      <w:pPr>
        <w:ind w:left="720"/>
        <w:jc w:val="both"/>
        <w:rPr>
          <w:rFonts w:asciiTheme="minorHAnsi" w:hAnsiTheme="minorHAnsi" w:cstheme="minorHAnsi"/>
        </w:rPr>
      </w:pPr>
    </w:p>
    <w:p w:rsidR="00E04008" w:rsidRDefault="00E04008">
      <w:pPr>
        <w:rPr>
          <w:rFonts w:asciiTheme="minorHAnsi" w:hAnsiTheme="minorHAnsi" w:cstheme="minorHAnsi"/>
        </w:rPr>
      </w:pPr>
      <w:r w:rsidRPr="00E04008">
        <w:rPr>
          <w:rFonts w:asciiTheme="minorHAnsi" w:hAnsiTheme="minorHAnsi" w:cstheme="minorHAnsi"/>
          <w:noProof/>
          <w:lang w:eastAsia="en-GB"/>
        </w:rPr>
        <w:lastRenderedPageBreak/>
        <w:drawing>
          <wp:inline distT="0" distB="0" distL="0" distR="0">
            <wp:extent cx="5731510" cy="3749324"/>
            <wp:effectExtent l="19050" t="0" r="21590" b="3526"/>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04008" w:rsidRDefault="00E04008">
      <w:pPr>
        <w:rPr>
          <w:rFonts w:asciiTheme="minorHAnsi" w:hAnsiTheme="minorHAnsi" w:cstheme="minorHAnsi"/>
        </w:rPr>
      </w:pPr>
    </w:p>
    <w:p w:rsidR="00E04008" w:rsidRDefault="00E04008" w:rsidP="00C21B89">
      <w:pPr>
        <w:spacing w:line="360" w:lineRule="auto"/>
        <w:rPr>
          <w:rFonts w:asciiTheme="minorHAnsi" w:hAnsiTheme="minorHAnsi" w:cstheme="minorHAnsi"/>
        </w:rPr>
      </w:pPr>
      <w:r>
        <w:rPr>
          <w:rFonts w:asciiTheme="minorHAnsi" w:hAnsiTheme="minorHAnsi" w:cstheme="minorHAnsi"/>
        </w:rPr>
        <w:t>If the £500 was exempt from tax and NICs the issue of reductions in Universal Credit would not arise. We understand that exemptions require the appropriate legislative changes and ask you to make those change</w:t>
      </w:r>
      <w:r w:rsidR="00475D75">
        <w:rPr>
          <w:rFonts w:asciiTheme="minorHAnsi" w:hAnsiTheme="minorHAnsi" w:cstheme="minorHAnsi"/>
        </w:rPr>
        <w:t>s</w:t>
      </w:r>
      <w:r>
        <w:rPr>
          <w:rFonts w:asciiTheme="minorHAnsi" w:hAnsiTheme="minorHAnsi" w:cstheme="minorHAnsi"/>
        </w:rPr>
        <w:t xml:space="preserve"> so that the Welsh Government is able to recognise the contribution of home care workers in the way it intended.</w:t>
      </w:r>
    </w:p>
    <w:p w:rsidR="00C21B89" w:rsidRPr="00C21B89" w:rsidRDefault="00C21B89" w:rsidP="00C21B89">
      <w:pPr>
        <w:spacing w:line="360" w:lineRule="auto"/>
        <w:rPr>
          <w:rFonts w:asciiTheme="minorHAnsi" w:hAnsiTheme="minorHAnsi" w:cstheme="minorHAnsi"/>
          <w:color w:val="000000"/>
          <w:bdr w:val="none" w:sz="0" w:space="0" w:color="auto" w:frame="1"/>
          <w:shd w:val="clear" w:color="auto" w:fill="FFFFFF"/>
        </w:rPr>
      </w:pPr>
      <w:r w:rsidRPr="00C21B89">
        <w:rPr>
          <w:rFonts w:asciiTheme="minorHAnsi" w:hAnsiTheme="minorHAnsi" w:cstheme="minorHAnsi"/>
          <w:color w:val="201F1E"/>
          <w:bdr w:val="none" w:sz="0" w:space="0" w:color="auto" w:frame="1"/>
          <w:shd w:val="clear" w:color="auto" w:fill="FFFFFF"/>
        </w:rPr>
        <w:t>Lastly, I cannot write to you without mentioning the unexplained absence of Wales' share of the Infection Control Fund. </w:t>
      </w:r>
      <w:r w:rsidRPr="00C21B89">
        <w:rPr>
          <w:rFonts w:asciiTheme="minorHAnsi" w:hAnsiTheme="minorHAnsi" w:cstheme="minorHAnsi"/>
          <w:color w:val="000000"/>
          <w:bdr w:val="none" w:sz="0" w:space="0" w:color="auto" w:frame="1"/>
          <w:shd w:val="clear" w:color="auto" w:fill="FFFFFF"/>
        </w:rPr>
        <w:t>Following a meeting with Helen Whatley Minister of State for Care, UNISON was informed of a Government expectation that no care worker should suffer a financial detriment due to their work or Covid-19 absence. The UK Government has made £600m available via local authorities and devolved administrations as of Friday 22nd May, to underpin the extra costs to support staff and infection control measures. It's vital that the Wales share of this is received as soon as possible. Our low paid care workers, who have deserved our applause in recent weeks, now deserve this concrete support.</w:t>
      </w:r>
    </w:p>
    <w:p w:rsidR="00415794" w:rsidRPr="00C21B89" w:rsidRDefault="00415794" w:rsidP="00C21B89">
      <w:pPr>
        <w:spacing w:line="360" w:lineRule="auto"/>
        <w:rPr>
          <w:rFonts w:asciiTheme="minorHAnsi" w:hAnsiTheme="minorHAnsi" w:cstheme="minorHAnsi"/>
          <w:color w:val="201F1E"/>
          <w:shd w:val="clear" w:color="auto" w:fill="FFFFFF"/>
        </w:rPr>
      </w:pPr>
      <w:r w:rsidRPr="00C21B89">
        <w:rPr>
          <w:rFonts w:asciiTheme="minorHAnsi" w:hAnsiTheme="minorHAnsi" w:cstheme="minorHAnsi"/>
          <w:color w:val="201F1E"/>
          <w:shd w:val="clear" w:color="auto" w:fill="FFFFFF"/>
        </w:rPr>
        <w:t>Yours faithfully,</w:t>
      </w:r>
    </w:p>
    <w:p w:rsidR="00415794" w:rsidRPr="00C21B89" w:rsidRDefault="00415794" w:rsidP="00C21B89">
      <w:pPr>
        <w:spacing w:after="0" w:line="360" w:lineRule="auto"/>
        <w:rPr>
          <w:rFonts w:asciiTheme="minorHAnsi" w:hAnsiTheme="minorHAnsi" w:cstheme="minorHAnsi"/>
          <w:b/>
          <w:color w:val="201F1E"/>
          <w:shd w:val="clear" w:color="auto" w:fill="FFFFFF"/>
        </w:rPr>
      </w:pPr>
      <w:r w:rsidRPr="00C21B89">
        <w:rPr>
          <w:rFonts w:asciiTheme="minorHAnsi" w:hAnsiTheme="minorHAnsi" w:cstheme="minorHAnsi"/>
          <w:b/>
          <w:color w:val="201F1E"/>
          <w:shd w:val="clear" w:color="auto" w:fill="FFFFFF"/>
        </w:rPr>
        <w:t>Tanya Palmer</w:t>
      </w:r>
    </w:p>
    <w:p w:rsidR="00415794" w:rsidRPr="00C21B89" w:rsidRDefault="00415794" w:rsidP="00C21B89">
      <w:pPr>
        <w:spacing w:after="0" w:line="360" w:lineRule="auto"/>
        <w:rPr>
          <w:rFonts w:asciiTheme="minorHAnsi" w:hAnsiTheme="minorHAnsi" w:cstheme="minorHAnsi"/>
          <w:color w:val="201F1E"/>
          <w:shd w:val="clear" w:color="auto" w:fill="FFFFFF"/>
        </w:rPr>
      </w:pPr>
      <w:r w:rsidRPr="00C21B89">
        <w:rPr>
          <w:rFonts w:asciiTheme="minorHAnsi" w:hAnsiTheme="minorHAnsi" w:cstheme="minorHAnsi"/>
          <w:color w:val="201F1E"/>
          <w:shd w:val="clear" w:color="auto" w:fill="FFFFFF"/>
        </w:rPr>
        <w:t>Regional secretary</w:t>
      </w:r>
    </w:p>
    <w:p w:rsidR="00475D75" w:rsidRDefault="00415794" w:rsidP="00C21B89">
      <w:pPr>
        <w:spacing w:after="0" w:line="360" w:lineRule="auto"/>
        <w:rPr>
          <w:rFonts w:asciiTheme="minorHAnsi" w:hAnsiTheme="minorHAnsi" w:cstheme="minorHAnsi"/>
        </w:rPr>
      </w:pPr>
      <w:r w:rsidRPr="00C21B89">
        <w:rPr>
          <w:rFonts w:asciiTheme="minorHAnsi" w:hAnsiTheme="minorHAnsi" w:cstheme="minorHAnsi"/>
          <w:color w:val="201F1E"/>
          <w:shd w:val="clear" w:color="auto" w:fill="FFFFFF"/>
        </w:rPr>
        <w:t xml:space="preserve">UNISON Cymru Wales </w:t>
      </w:r>
    </w:p>
    <w:p w:rsidR="00E04008" w:rsidRDefault="00E04008" w:rsidP="00AC1C6B">
      <w:pPr>
        <w:jc w:val="both"/>
        <w:rPr>
          <w:rFonts w:asciiTheme="minorHAnsi" w:hAnsiTheme="minorHAnsi" w:cstheme="minorHAnsi"/>
        </w:rPr>
      </w:pPr>
      <w:r>
        <w:rPr>
          <w:rFonts w:asciiTheme="minorHAnsi" w:hAnsiTheme="minorHAnsi" w:cstheme="minorHAnsi"/>
        </w:rPr>
        <w:lastRenderedPageBreak/>
        <w:t xml:space="preserve">Appendix </w:t>
      </w:r>
    </w:p>
    <w:p w:rsidR="00AC1C6B" w:rsidRDefault="00AC1C6B" w:rsidP="00AC1C6B">
      <w:pPr>
        <w:jc w:val="both"/>
        <w:rPr>
          <w:rFonts w:asciiTheme="minorHAnsi" w:hAnsiTheme="minorHAnsi" w:cstheme="minorHAnsi"/>
        </w:rPr>
      </w:pPr>
      <w:r>
        <w:rPr>
          <w:rFonts w:asciiTheme="minorHAnsi" w:hAnsiTheme="minorHAnsi" w:cstheme="minorHAnsi"/>
        </w:rPr>
        <w:t>Example A</w:t>
      </w:r>
    </w:p>
    <w:p w:rsidR="00AC1C6B" w:rsidRDefault="00AC1C6B" w:rsidP="00AC1C6B">
      <w:pPr>
        <w:jc w:val="both"/>
        <w:rPr>
          <w:rFonts w:asciiTheme="minorHAnsi" w:hAnsiTheme="minorHAnsi" w:cstheme="minorHAnsi"/>
        </w:rPr>
      </w:pPr>
      <w:r>
        <w:rPr>
          <w:rFonts w:asciiTheme="minorHAnsi" w:hAnsiTheme="minorHAnsi" w:cstheme="minorHAnsi"/>
        </w:rPr>
        <w:t>For those earning above personal tax allowance - £12,500/annum – they would be liable for income tax (£100) and national insurance contributions (£60). The increase in their net income is £340. But the Universal credit taper (63%) is applied to net income.</w:t>
      </w:r>
    </w:p>
    <w:p w:rsidR="00AC1C6B" w:rsidRDefault="00AC1C6B" w:rsidP="00AC1C6B">
      <w:pPr>
        <w:jc w:val="both"/>
        <w:rPr>
          <w:rFonts w:asciiTheme="minorHAnsi" w:hAnsiTheme="minorHAnsi" w:cstheme="minorHAnsi"/>
        </w:rPr>
      </w:pPr>
      <w:r>
        <w:rPr>
          <w:rFonts w:asciiTheme="minorHAnsi" w:hAnsiTheme="minorHAnsi" w:cstheme="minorHAnsi"/>
        </w:rPr>
        <w:t>So those in receipt of Universal Credit will also see a reduction in their Universal Credit of £214.80 in the month following receipt of the £500.</w:t>
      </w:r>
    </w:p>
    <w:p w:rsidR="00AC1C6B" w:rsidRDefault="00AC1C6B" w:rsidP="00AC1C6B">
      <w:pPr>
        <w:jc w:val="both"/>
        <w:rPr>
          <w:rFonts w:asciiTheme="minorHAnsi" w:hAnsiTheme="minorHAnsi" w:cstheme="minorHAnsi"/>
        </w:rPr>
      </w:pPr>
      <w:r>
        <w:rPr>
          <w:rFonts w:asciiTheme="minorHAnsi" w:hAnsiTheme="minorHAnsi" w:cstheme="minorHAnsi"/>
        </w:rPr>
        <w:t>They will actually see £125.80 of the £500.</w:t>
      </w:r>
    </w:p>
    <w:p w:rsidR="00AC1C6B" w:rsidRDefault="00AC1C6B" w:rsidP="00AC1C6B">
      <w:pPr>
        <w:jc w:val="both"/>
        <w:rPr>
          <w:rFonts w:asciiTheme="minorHAnsi" w:hAnsiTheme="minorHAnsi" w:cstheme="minorHAnsi"/>
        </w:rPr>
      </w:pPr>
      <w:r>
        <w:rPr>
          <w:rFonts w:asciiTheme="minorHAnsi" w:hAnsiTheme="minorHAnsi" w:cstheme="minorHAnsi"/>
        </w:rPr>
        <w:t>Example B</w:t>
      </w:r>
    </w:p>
    <w:p w:rsidR="00AC1C6B" w:rsidRDefault="00AC1C6B" w:rsidP="00AC1C6B">
      <w:pPr>
        <w:jc w:val="both"/>
        <w:rPr>
          <w:rFonts w:asciiTheme="minorHAnsi" w:hAnsiTheme="minorHAnsi" w:cstheme="minorHAnsi"/>
        </w:rPr>
      </w:pPr>
      <w:r>
        <w:rPr>
          <w:rFonts w:asciiTheme="minorHAnsi" w:hAnsiTheme="minorHAnsi" w:cstheme="minorHAnsi"/>
        </w:rPr>
        <w:t xml:space="preserve">For those working part time with annual incomes between £9,504 and £12,000 – they will only be liable for national insurance contributions (£60). The increase in their net income is £440. </w:t>
      </w:r>
    </w:p>
    <w:p w:rsidR="00AC1C6B" w:rsidRDefault="00AC1C6B" w:rsidP="00AC1C6B">
      <w:pPr>
        <w:jc w:val="both"/>
        <w:rPr>
          <w:rFonts w:asciiTheme="minorHAnsi" w:hAnsiTheme="minorHAnsi" w:cstheme="minorHAnsi"/>
        </w:rPr>
      </w:pPr>
      <w:r>
        <w:rPr>
          <w:rFonts w:asciiTheme="minorHAnsi" w:hAnsiTheme="minorHAnsi" w:cstheme="minorHAnsi"/>
        </w:rPr>
        <w:t xml:space="preserve">The Universal Credit taper is applied to net income. </w:t>
      </w:r>
    </w:p>
    <w:p w:rsidR="00AC1C6B" w:rsidRDefault="00AC1C6B" w:rsidP="00AC1C6B">
      <w:pPr>
        <w:jc w:val="both"/>
        <w:rPr>
          <w:rFonts w:asciiTheme="minorHAnsi" w:hAnsiTheme="minorHAnsi" w:cstheme="minorHAnsi"/>
        </w:rPr>
      </w:pPr>
      <w:r>
        <w:rPr>
          <w:rFonts w:asciiTheme="minorHAnsi" w:hAnsiTheme="minorHAnsi" w:cstheme="minorHAnsi"/>
        </w:rPr>
        <w:t>So those in receipt of Universal Credit will also see a reduction in their Universal Credit of £277.20</w:t>
      </w:r>
    </w:p>
    <w:p w:rsidR="00AC1C6B" w:rsidRDefault="00AC1C6B" w:rsidP="00AC1C6B">
      <w:pPr>
        <w:jc w:val="both"/>
        <w:rPr>
          <w:rFonts w:asciiTheme="minorHAnsi" w:hAnsiTheme="minorHAnsi" w:cstheme="minorHAnsi"/>
        </w:rPr>
      </w:pPr>
      <w:r>
        <w:rPr>
          <w:rFonts w:asciiTheme="minorHAnsi" w:hAnsiTheme="minorHAnsi" w:cstheme="minorHAnsi"/>
        </w:rPr>
        <w:t>They will actually see £162.80.</w:t>
      </w:r>
    </w:p>
    <w:p w:rsidR="00AC1C6B" w:rsidRDefault="00AC1C6B" w:rsidP="00AC1C6B">
      <w:pPr>
        <w:jc w:val="both"/>
        <w:rPr>
          <w:rFonts w:asciiTheme="minorHAnsi" w:hAnsiTheme="minorHAnsi" w:cstheme="minorHAnsi"/>
        </w:rPr>
      </w:pPr>
      <w:r>
        <w:rPr>
          <w:rFonts w:asciiTheme="minorHAnsi" w:hAnsiTheme="minorHAnsi" w:cstheme="minorHAnsi"/>
        </w:rPr>
        <w:t>Example C</w:t>
      </w:r>
    </w:p>
    <w:p w:rsidR="00AC1C6B" w:rsidRDefault="00AC1C6B" w:rsidP="00AC1C6B">
      <w:pPr>
        <w:jc w:val="both"/>
        <w:rPr>
          <w:rFonts w:asciiTheme="minorHAnsi" w:hAnsiTheme="minorHAnsi" w:cstheme="minorHAnsi"/>
        </w:rPr>
      </w:pPr>
      <w:r>
        <w:rPr>
          <w:rFonts w:asciiTheme="minorHAnsi" w:hAnsiTheme="minorHAnsi" w:cstheme="minorHAnsi"/>
        </w:rPr>
        <w:t xml:space="preserve">For those working part time with annual incomes below £9,004 – they will not be liable for either income tax or national insurance contributions. The increase in their net income is £500. </w:t>
      </w:r>
    </w:p>
    <w:p w:rsidR="00AC1C6B" w:rsidRDefault="00AC1C6B" w:rsidP="00AC1C6B">
      <w:pPr>
        <w:jc w:val="both"/>
        <w:rPr>
          <w:rFonts w:asciiTheme="minorHAnsi" w:hAnsiTheme="minorHAnsi" w:cstheme="minorHAnsi"/>
        </w:rPr>
      </w:pPr>
      <w:r>
        <w:rPr>
          <w:rFonts w:asciiTheme="minorHAnsi" w:hAnsiTheme="minorHAnsi" w:cstheme="minorHAnsi"/>
        </w:rPr>
        <w:t xml:space="preserve">The Universal Credit taper is applied to net income. </w:t>
      </w:r>
    </w:p>
    <w:p w:rsidR="00AC1C6B" w:rsidRDefault="00AC1C6B" w:rsidP="00AC1C6B">
      <w:pPr>
        <w:jc w:val="both"/>
        <w:rPr>
          <w:rFonts w:asciiTheme="minorHAnsi" w:hAnsiTheme="minorHAnsi" w:cstheme="minorHAnsi"/>
        </w:rPr>
      </w:pPr>
      <w:r>
        <w:rPr>
          <w:rFonts w:asciiTheme="minorHAnsi" w:hAnsiTheme="minorHAnsi" w:cstheme="minorHAnsi"/>
        </w:rPr>
        <w:t>So those in receipt of Universal Credit will also see a reduction in their Universal Credit of £315.00.</w:t>
      </w:r>
    </w:p>
    <w:p w:rsidR="00AC1C6B" w:rsidRDefault="00AC1C6B" w:rsidP="00AC1C6B">
      <w:pPr>
        <w:jc w:val="both"/>
        <w:rPr>
          <w:rFonts w:asciiTheme="minorHAnsi" w:hAnsiTheme="minorHAnsi" w:cstheme="minorHAnsi"/>
        </w:rPr>
      </w:pPr>
      <w:r>
        <w:rPr>
          <w:rFonts w:asciiTheme="minorHAnsi" w:hAnsiTheme="minorHAnsi" w:cstheme="minorHAnsi"/>
        </w:rPr>
        <w:t>They will actually see £185.00.</w:t>
      </w:r>
    </w:p>
    <w:p w:rsidR="00AC1C6B" w:rsidRDefault="00AC1C6B" w:rsidP="00AC1C6B">
      <w:pPr>
        <w:jc w:val="both"/>
        <w:rPr>
          <w:rFonts w:asciiTheme="minorHAnsi" w:hAnsiTheme="minorHAnsi" w:cstheme="minorHAnsi"/>
        </w:rPr>
      </w:pPr>
    </w:p>
    <w:p w:rsidR="00261665" w:rsidRDefault="00E3397A" w:rsidP="009C4383">
      <w:pPr>
        <w:jc w:val="both"/>
        <w:rPr>
          <w:rFonts w:asciiTheme="minorHAnsi" w:hAnsiTheme="minorHAnsi" w:cstheme="minorHAnsi"/>
        </w:rPr>
      </w:pPr>
      <w:r>
        <w:rPr>
          <w:rFonts w:asciiTheme="minorHAnsi" w:hAnsiTheme="minorHAnsi" w:cstheme="minorHAnsi"/>
        </w:rPr>
        <w:t xml:space="preserve">  </w:t>
      </w:r>
      <w:r w:rsidR="00261665">
        <w:rPr>
          <w:rFonts w:asciiTheme="minorHAnsi" w:hAnsiTheme="minorHAnsi" w:cstheme="minorHAnsi"/>
        </w:rPr>
        <w:t xml:space="preserve">   </w:t>
      </w:r>
    </w:p>
    <w:p w:rsidR="00261665" w:rsidRPr="00261665" w:rsidRDefault="00261665" w:rsidP="009C4383">
      <w:pPr>
        <w:jc w:val="both"/>
        <w:rPr>
          <w:rFonts w:asciiTheme="minorHAnsi" w:hAnsiTheme="minorHAnsi" w:cstheme="minorHAnsi"/>
        </w:rPr>
      </w:pPr>
      <w:r>
        <w:rPr>
          <w:rFonts w:asciiTheme="minorHAnsi" w:hAnsiTheme="minorHAnsi" w:cstheme="minorHAnsi"/>
        </w:rPr>
        <w:t xml:space="preserve"> </w:t>
      </w:r>
    </w:p>
    <w:sectPr w:rsidR="00261665" w:rsidRPr="00261665" w:rsidSect="006911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F6430"/>
    <w:multiLevelType w:val="hybridMultilevel"/>
    <w:tmpl w:val="C4940770"/>
    <w:lvl w:ilvl="0" w:tplc="F7DA2A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1665"/>
    <w:rsid w:val="00050945"/>
    <w:rsid w:val="00074286"/>
    <w:rsid w:val="000C43DD"/>
    <w:rsid w:val="000F2C12"/>
    <w:rsid w:val="0010712C"/>
    <w:rsid w:val="00137492"/>
    <w:rsid w:val="0014290A"/>
    <w:rsid w:val="001550AF"/>
    <w:rsid w:val="00261665"/>
    <w:rsid w:val="00261DD1"/>
    <w:rsid w:val="00265188"/>
    <w:rsid w:val="00271222"/>
    <w:rsid w:val="00332AD3"/>
    <w:rsid w:val="0034453D"/>
    <w:rsid w:val="00344981"/>
    <w:rsid w:val="003548C5"/>
    <w:rsid w:val="003A1799"/>
    <w:rsid w:val="003B532E"/>
    <w:rsid w:val="003D4B42"/>
    <w:rsid w:val="00415794"/>
    <w:rsid w:val="0043454F"/>
    <w:rsid w:val="00445D50"/>
    <w:rsid w:val="00475D75"/>
    <w:rsid w:val="004B5467"/>
    <w:rsid w:val="00502AA7"/>
    <w:rsid w:val="00510A80"/>
    <w:rsid w:val="00514BE0"/>
    <w:rsid w:val="005400BA"/>
    <w:rsid w:val="00572BEA"/>
    <w:rsid w:val="0059661E"/>
    <w:rsid w:val="005C1523"/>
    <w:rsid w:val="005C34F8"/>
    <w:rsid w:val="005C6F12"/>
    <w:rsid w:val="005D3817"/>
    <w:rsid w:val="0069114F"/>
    <w:rsid w:val="006B08F3"/>
    <w:rsid w:val="006D2F6F"/>
    <w:rsid w:val="00740707"/>
    <w:rsid w:val="007B60D6"/>
    <w:rsid w:val="00806591"/>
    <w:rsid w:val="00842D76"/>
    <w:rsid w:val="00867752"/>
    <w:rsid w:val="008851C6"/>
    <w:rsid w:val="008B380F"/>
    <w:rsid w:val="008D5507"/>
    <w:rsid w:val="008D63B6"/>
    <w:rsid w:val="008F2D4C"/>
    <w:rsid w:val="008F580E"/>
    <w:rsid w:val="00920DBD"/>
    <w:rsid w:val="00927320"/>
    <w:rsid w:val="00984196"/>
    <w:rsid w:val="009A2358"/>
    <w:rsid w:val="009C4383"/>
    <w:rsid w:val="00A42918"/>
    <w:rsid w:val="00A456BE"/>
    <w:rsid w:val="00AC1C6B"/>
    <w:rsid w:val="00B2025C"/>
    <w:rsid w:val="00B31AE5"/>
    <w:rsid w:val="00B3316F"/>
    <w:rsid w:val="00B56D15"/>
    <w:rsid w:val="00BD686A"/>
    <w:rsid w:val="00C1739E"/>
    <w:rsid w:val="00C21B89"/>
    <w:rsid w:val="00C222A0"/>
    <w:rsid w:val="00C70D3E"/>
    <w:rsid w:val="00C83C02"/>
    <w:rsid w:val="00D07A3C"/>
    <w:rsid w:val="00D3273B"/>
    <w:rsid w:val="00D624A2"/>
    <w:rsid w:val="00D728CC"/>
    <w:rsid w:val="00DE0921"/>
    <w:rsid w:val="00DF2B19"/>
    <w:rsid w:val="00E04008"/>
    <w:rsid w:val="00E22A74"/>
    <w:rsid w:val="00E3141A"/>
    <w:rsid w:val="00E3397A"/>
    <w:rsid w:val="00E57E61"/>
    <w:rsid w:val="00EB5E52"/>
    <w:rsid w:val="00EC0246"/>
    <w:rsid w:val="00F65364"/>
    <w:rsid w:val="00F70487"/>
    <w:rsid w:val="00F907FA"/>
    <w:rsid w:val="00FA59E8"/>
    <w:rsid w:val="00FB2121"/>
    <w:rsid w:val="00FD17FE"/>
    <w:rsid w:val="00FE6152"/>
    <w:rsid w:val="00FE65E9"/>
    <w:rsid w:val="00FF05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0487"/>
    <w:pPr>
      <w:ind w:left="720"/>
      <w:contextualSpacing/>
    </w:pPr>
  </w:style>
  <w:style w:type="paragraph" w:styleId="BalloonText">
    <w:name w:val="Balloon Text"/>
    <w:basedOn w:val="Normal"/>
    <w:link w:val="BalloonTextChar"/>
    <w:uiPriority w:val="99"/>
    <w:semiHidden/>
    <w:unhideWhenUsed/>
    <w:rsid w:val="00E04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008"/>
    <w:rPr>
      <w:rFonts w:ascii="Tahoma" w:hAnsi="Tahoma" w:cs="Tahoma"/>
      <w:sz w:val="16"/>
      <w:szCs w:val="16"/>
    </w:rPr>
  </w:style>
  <w:style w:type="character" w:customStyle="1" w:styleId="apple-converted-space">
    <w:name w:val="apple-converted-space"/>
    <w:basedOn w:val="DefaultParagraphFont"/>
    <w:rsid w:val="00EC02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What happens to the £500 supplement?</a:t>
            </a:r>
          </a:p>
          <a:p>
            <a:pPr>
              <a:defRPr/>
            </a:pPr>
            <a:endParaRPr lang="en-GB"/>
          </a:p>
        </c:rich>
      </c:tx>
    </c:title>
    <c:plotArea>
      <c:layout/>
      <c:lineChart>
        <c:grouping val="standard"/>
        <c:ser>
          <c:idx val="0"/>
          <c:order val="0"/>
          <c:tx>
            <c:strRef>
              <c:f>Sheet1!$E$2</c:f>
              <c:strCache>
                <c:ptCount val="1"/>
                <c:pt idx="0">
                  <c:v>Payment</c:v>
                </c:pt>
              </c:strCache>
            </c:strRef>
          </c:tx>
          <c:marker>
            <c:symbol val="none"/>
          </c:marker>
          <c:cat>
            <c:numRef>
              <c:f>Sheet1!$D$3:$D$57</c:f>
              <c:numCache>
                <c:formatCode>"£"#,##0</c:formatCode>
                <c:ptCount val="55"/>
                <c:pt idx="0">
                  <c:v>9004</c:v>
                </c:pt>
                <c:pt idx="1">
                  <c:v>9100</c:v>
                </c:pt>
                <c:pt idx="2">
                  <c:v>9200</c:v>
                </c:pt>
                <c:pt idx="3">
                  <c:v>9300</c:v>
                </c:pt>
                <c:pt idx="4">
                  <c:v>9400</c:v>
                </c:pt>
                <c:pt idx="5">
                  <c:v>9500</c:v>
                </c:pt>
                <c:pt idx="6">
                  <c:v>9600</c:v>
                </c:pt>
                <c:pt idx="7">
                  <c:v>9700</c:v>
                </c:pt>
                <c:pt idx="8">
                  <c:v>9800</c:v>
                </c:pt>
                <c:pt idx="9">
                  <c:v>9900</c:v>
                </c:pt>
                <c:pt idx="10">
                  <c:v>10000</c:v>
                </c:pt>
                <c:pt idx="11">
                  <c:v>10100</c:v>
                </c:pt>
                <c:pt idx="12">
                  <c:v>10200</c:v>
                </c:pt>
                <c:pt idx="13">
                  <c:v>10300</c:v>
                </c:pt>
                <c:pt idx="14">
                  <c:v>10400</c:v>
                </c:pt>
                <c:pt idx="15">
                  <c:v>10500</c:v>
                </c:pt>
                <c:pt idx="16">
                  <c:v>10600</c:v>
                </c:pt>
                <c:pt idx="17">
                  <c:v>10700</c:v>
                </c:pt>
                <c:pt idx="18">
                  <c:v>10800</c:v>
                </c:pt>
                <c:pt idx="19">
                  <c:v>10900</c:v>
                </c:pt>
                <c:pt idx="20">
                  <c:v>11000</c:v>
                </c:pt>
                <c:pt idx="21">
                  <c:v>11100</c:v>
                </c:pt>
                <c:pt idx="22">
                  <c:v>11200</c:v>
                </c:pt>
                <c:pt idx="23">
                  <c:v>11300</c:v>
                </c:pt>
                <c:pt idx="24">
                  <c:v>11400</c:v>
                </c:pt>
                <c:pt idx="25">
                  <c:v>11500</c:v>
                </c:pt>
                <c:pt idx="26">
                  <c:v>11600</c:v>
                </c:pt>
                <c:pt idx="27">
                  <c:v>11700</c:v>
                </c:pt>
                <c:pt idx="28">
                  <c:v>11800</c:v>
                </c:pt>
                <c:pt idx="29">
                  <c:v>11900</c:v>
                </c:pt>
                <c:pt idx="30">
                  <c:v>12000</c:v>
                </c:pt>
                <c:pt idx="31">
                  <c:v>12100</c:v>
                </c:pt>
                <c:pt idx="32">
                  <c:v>12200</c:v>
                </c:pt>
                <c:pt idx="33">
                  <c:v>12300</c:v>
                </c:pt>
                <c:pt idx="34">
                  <c:v>12400</c:v>
                </c:pt>
                <c:pt idx="35">
                  <c:v>12500</c:v>
                </c:pt>
                <c:pt idx="36">
                  <c:v>12600</c:v>
                </c:pt>
                <c:pt idx="37">
                  <c:v>12700</c:v>
                </c:pt>
                <c:pt idx="38">
                  <c:v>12800</c:v>
                </c:pt>
                <c:pt idx="39">
                  <c:v>12900</c:v>
                </c:pt>
                <c:pt idx="40">
                  <c:v>13000</c:v>
                </c:pt>
                <c:pt idx="41">
                  <c:v>13100</c:v>
                </c:pt>
                <c:pt idx="42">
                  <c:v>13200</c:v>
                </c:pt>
                <c:pt idx="43">
                  <c:v>13300</c:v>
                </c:pt>
                <c:pt idx="44">
                  <c:v>13400</c:v>
                </c:pt>
                <c:pt idx="45">
                  <c:v>13500</c:v>
                </c:pt>
                <c:pt idx="46">
                  <c:v>13600</c:v>
                </c:pt>
                <c:pt idx="47">
                  <c:v>13700</c:v>
                </c:pt>
                <c:pt idx="48">
                  <c:v>13800</c:v>
                </c:pt>
                <c:pt idx="49">
                  <c:v>13900</c:v>
                </c:pt>
                <c:pt idx="50">
                  <c:v>14000</c:v>
                </c:pt>
                <c:pt idx="51">
                  <c:v>14100</c:v>
                </c:pt>
                <c:pt idx="52">
                  <c:v>14200</c:v>
                </c:pt>
                <c:pt idx="53">
                  <c:v>14300</c:v>
                </c:pt>
                <c:pt idx="54">
                  <c:v>14400</c:v>
                </c:pt>
              </c:numCache>
            </c:numRef>
          </c:cat>
          <c:val>
            <c:numRef>
              <c:f>Sheet1!$E$3:$E$57</c:f>
              <c:numCache>
                <c:formatCode>"£"#,##0.00</c:formatCode>
                <c:ptCount val="55"/>
                <c:pt idx="0">
                  <c:v>500</c:v>
                </c:pt>
                <c:pt idx="1">
                  <c:v>500</c:v>
                </c:pt>
                <c:pt idx="2">
                  <c:v>500</c:v>
                </c:pt>
                <c:pt idx="3">
                  <c:v>500</c:v>
                </c:pt>
                <c:pt idx="4">
                  <c:v>500</c:v>
                </c:pt>
                <c:pt idx="5">
                  <c:v>500</c:v>
                </c:pt>
                <c:pt idx="6">
                  <c:v>500</c:v>
                </c:pt>
                <c:pt idx="7">
                  <c:v>500</c:v>
                </c:pt>
                <c:pt idx="8">
                  <c:v>500</c:v>
                </c:pt>
                <c:pt idx="9">
                  <c:v>500</c:v>
                </c:pt>
                <c:pt idx="10">
                  <c:v>500</c:v>
                </c:pt>
                <c:pt idx="11">
                  <c:v>500</c:v>
                </c:pt>
                <c:pt idx="12">
                  <c:v>500</c:v>
                </c:pt>
                <c:pt idx="13">
                  <c:v>500</c:v>
                </c:pt>
                <c:pt idx="14">
                  <c:v>500</c:v>
                </c:pt>
                <c:pt idx="15">
                  <c:v>500</c:v>
                </c:pt>
                <c:pt idx="16">
                  <c:v>500</c:v>
                </c:pt>
                <c:pt idx="17">
                  <c:v>500</c:v>
                </c:pt>
                <c:pt idx="18">
                  <c:v>500</c:v>
                </c:pt>
                <c:pt idx="19">
                  <c:v>500</c:v>
                </c:pt>
                <c:pt idx="20">
                  <c:v>500</c:v>
                </c:pt>
                <c:pt idx="21">
                  <c:v>500</c:v>
                </c:pt>
                <c:pt idx="22">
                  <c:v>500</c:v>
                </c:pt>
                <c:pt idx="23">
                  <c:v>500</c:v>
                </c:pt>
                <c:pt idx="24">
                  <c:v>500</c:v>
                </c:pt>
                <c:pt idx="25">
                  <c:v>500</c:v>
                </c:pt>
                <c:pt idx="26">
                  <c:v>500</c:v>
                </c:pt>
                <c:pt idx="27">
                  <c:v>500</c:v>
                </c:pt>
                <c:pt idx="28">
                  <c:v>500</c:v>
                </c:pt>
                <c:pt idx="29">
                  <c:v>500</c:v>
                </c:pt>
                <c:pt idx="30">
                  <c:v>500</c:v>
                </c:pt>
                <c:pt idx="31">
                  <c:v>500</c:v>
                </c:pt>
                <c:pt idx="32">
                  <c:v>500</c:v>
                </c:pt>
                <c:pt idx="33">
                  <c:v>500</c:v>
                </c:pt>
                <c:pt idx="34">
                  <c:v>500</c:v>
                </c:pt>
                <c:pt idx="35">
                  <c:v>500</c:v>
                </c:pt>
                <c:pt idx="36">
                  <c:v>500</c:v>
                </c:pt>
                <c:pt idx="37">
                  <c:v>500</c:v>
                </c:pt>
                <c:pt idx="38">
                  <c:v>500</c:v>
                </c:pt>
                <c:pt idx="39">
                  <c:v>500</c:v>
                </c:pt>
                <c:pt idx="40">
                  <c:v>500</c:v>
                </c:pt>
                <c:pt idx="41">
                  <c:v>500</c:v>
                </c:pt>
                <c:pt idx="42">
                  <c:v>500</c:v>
                </c:pt>
                <c:pt idx="43">
                  <c:v>500</c:v>
                </c:pt>
                <c:pt idx="44">
                  <c:v>500</c:v>
                </c:pt>
                <c:pt idx="45">
                  <c:v>500</c:v>
                </c:pt>
                <c:pt idx="46">
                  <c:v>500</c:v>
                </c:pt>
                <c:pt idx="47">
                  <c:v>500</c:v>
                </c:pt>
                <c:pt idx="48">
                  <c:v>500</c:v>
                </c:pt>
                <c:pt idx="49">
                  <c:v>500</c:v>
                </c:pt>
                <c:pt idx="50">
                  <c:v>500</c:v>
                </c:pt>
                <c:pt idx="51">
                  <c:v>500</c:v>
                </c:pt>
                <c:pt idx="52">
                  <c:v>500</c:v>
                </c:pt>
                <c:pt idx="53">
                  <c:v>500</c:v>
                </c:pt>
                <c:pt idx="54">
                  <c:v>500</c:v>
                </c:pt>
              </c:numCache>
            </c:numRef>
          </c:val>
        </c:ser>
        <c:ser>
          <c:idx val="1"/>
          <c:order val="1"/>
          <c:tx>
            <c:strRef>
              <c:f>Sheet1!$F$2</c:f>
              <c:strCache>
                <c:ptCount val="1"/>
                <c:pt idx="0">
                  <c:v>Income Tax</c:v>
                </c:pt>
              </c:strCache>
            </c:strRef>
          </c:tx>
          <c:marker>
            <c:symbol val="none"/>
          </c:marker>
          <c:cat>
            <c:numRef>
              <c:f>Sheet1!$D$3:$D$57</c:f>
              <c:numCache>
                <c:formatCode>"£"#,##0</c:formatCode>
                <c:ptCount val="55"/>
                <c:pt idx="0">
                  <c:v>9004</c:v>
                </c:pt>
                <c:pt idx="1">
                  <c:v>9100</c:v>
                </c:pt>
                <c:pt idx="2">
                  <c:v>9200</c:v>
                </c:pt>
                <c:pt idx="3">
                  <c:v>9300</c:v>
                </c:pt>
                <c:pt idx="4">
                  <c:v>9400</c:v>
                </c:pt>
                <c:pt idx="5">
                  <c:v>9500</c:v>
                </c:pt>
                <c:pt idx="6">
                  <c:v>9600</c:v>
                </c:pt>
                <c:pt idx="7">
                  <c:v>9700</c:v>
                </c:pt>
                <c:pt idx="8">
                  <c:v>9800</c:v>
                </c:pt>
                <c:pt idx="9">
                  <c:v>9900</c:v>
                </c:pt>
                <c:pt idx="10">
                  <c:v>10000</c:v>
                </c:pt>
                <c:pt idx="11">
                  <c:v>10100</c:v>
                </c:pt>
                <c:pt idx="12">
                  <c:v>10200</c:v>
                </c:pt>
                <c:pt idx="13">
                  <c:v>10300</c:v>
                </c:pt>
                <c:pt idx="14">
                  <c:v>10400</c:v>
                </c:pt>
                <c:pt idx="15">
                  <c:v>10500</c:v>
                </c:pt>
                <c:pt idx="16">
                  <c:v>10600</c:v>
                </c:pt>
                <c:pt idx="17">
                  <c:v>10700</c:v>
                </c:pt>
                <c:pt idx="18">
                  <c:v>10800</c:v>
                </c:pt>
                <c:pt idx="19">
                  <c:v>10900</c:v>
                </c:pt>
                <c:pt idx="20">
                  <c:v>11000</c:v>
                </c:pt>
                <c:pt idx="21">
                  <c:v>11100</c:v>
                </c:pt>
                <c:pt idx="22">
                  <c:v>11200</c:v>
                </c:pt>
                <c:pt idx="23">
                  <c:v>11300</c:v>
                </c:pt>
                <c:pt idx="24">
                  <c:v>11400</c:v>
                </c:pt>
                <c:pt idx="25">
                  <c:v>11500</c:v>
                </c:pt>
                <c:pt idx="26">
                  <c:v>11600</c:v>
                </c:pt>
                <c:pt idx="27">
                  <c:v>11700</c:v>
                </c:pt>
                <c:pt idx="28">
                  <c:v>11800</c:v>
                </c:pt>
                <c:pt idx="29">
                  <c:v>11900</c:v>
                </c:pt>
                <c:pt idx="30">
                  <c:v>12000</c:v>
                </c:pt>
                <c:pt idx="31">
                  <c:v>12100</c:v>
                </c:pt>
                <c:pt idx="32">
                  <c:v>12200</c:v>
                </c:pt>
                <c:pt idx="33">
                  <c:v>12300</c:v>
                </c:pt>
                <c:pt idx="34">
                  <c:v>12400</c:v>
                </c:pt>
                <c:pt idx="35">
                  <c:v>12500</c:v>
                </c:pt>
                <c:pt idx="36">
                  <c:v>12600</c:v>
                </c:pt>
                <c:pt idx="37">
                  <c:v>12700</c:v>
                </c:pt>
                <c:pt idx="38">
                  <c:v>12800</c:v>
                </c:pt>
                <c:pt idx="39">
                  <c:v>12900</c:v>
                </c:pt>
                <c:pt idx="40">
                  <c:v>13000</c:v>
                </c:pt>
                <c:pt idx="41">
                  <c:v>13100</c:v>
                </c:pt>
                <c:pt idx="42">
                  <c:v>13200</c:v>
                </c:pt>
                <c:pt idx="43">
                  <c:v>13300</c:v>
                </c:pt>
                <c:pt idx="44">
                  <c:v>13400</c:v>
                </c:pt>
                <c:pt idx="45">
                  <c:v>13500</c:v>
                </c:pt>
                <c:pt idx="46">
                  <c:v>13600</c:v>
                </c:pt>
                <c:pt idx="47">
                  <c:v>13700</c:v>
                </c:pt>
                <c:pt idx="48">
                  <c:v>13800</c:v>
                </c:pt>
                <c:pt idx="49">
                  <c:v>13900</c:v>
                </c:pt>
                <c:pt idx="50">
                  <c:v>14000</c:v>
                </c:pt>
                <c:pt idx="51">
                  <c:v>14100</c:v>
                </c:pt>
                <c:pt idx="52">
                  <c:v>14200</c:v>
                </c:pt>
                <c:pt idx="53">
                  <c:v>14300</c:v>
                </c:pt>
                <c:pt idx="54">
                  <c:v>14400</c:v>
                </c:pt>
              </c:numCache>
            </c:numRef>
          </c:cat>
          <c:val>
            <c:numRef>
              <c:f>Sheet1!$F$3:$F$57</c:f>
              <c:numCache>
                <c:formatCode>General</c:formatCode>
                <c:ptCount val="5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20</c:v>
                </c:pt>
                <c:pt idx="32">
                  <c:v>40</c:v>
                </c:pt>
                <c:pt idx="33">
                  <c:v>60</c:v>
                </c:pt>
                <c:pt idx="34">
                  <c:v>80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numCache>
            </c:numRef>
          </c:val>
        </c:ser>
        <c:ser>
          <c:idx val="2"/>
          <c:order val="2"/>
          <c:tx>
            <c:strRef>
              <c:f>Sheet1!$G$2</c:f>
              <c:strCache>
                <c:ptCount val="1"/>
                <c:pt idx="0">
                  <c:v>NICs</c:v>
                </c:pt>
              </c:strCache>
            </c:strRef>
          </c:tx>
          <c:marker>
            <c:symbol val="none"/>
          </c:marker>
          <c:cat>
            <c:numRef>
              <c:f>Sheet1!$D$3:$D$57</c:f>
              <c:numCache>
                <c:formatCode>"£"#,##0</c:formatCode>
                <c:ptCount val="55"/>
                <c:pt idx="0">
                  <c:v>9004</c:v>
                </c:pt>
                <c:pt idx="1">
                  <c:v>9100</c:v>
                </c:pt>
                <c:pt idx="2">
                  <c:v>9200</c:v>
                </c:pt>
                <c:pt idx="3">
                  <c:v>9300</c:v>
                </c:pt>
                <c:pt idx="4">
                  <c:v>9400</c:v>
                </c:pt>
                <c:pt idx="5">
                  <c:v>9500</c:v>
                </c:pt>
                <c:pt idx="6">
                  <c:v>9600</c:v>
                </c:pt>
                <c:pt idx="7">
                  <c:v>9700</c:v>
                </c:pt>
                <c:pt idx="8">
                  <c:v>9800</c:v>
                </c:pt>
                <c:pt idx="9">
                  <c:v>9900</c:v>
                </c:pt>
                <c:pt idx="10">
                  <c:v>10000</c:v>
                </c:pt>
                <c:pt idx="11">
                  <c:v>10100</c:v>
                </c:pt>
                <c:pt idx="12">
                  <c:v>10200</c:v>
                </c:pt>
                <c:pt idx="13">
                  <c:v>10300</c:v>
                </c:pt>
                <c:pt idx="14">
                  <c:v>10400</c:v>
                </c:pt>
                <c:pt idx="15">
                  <c:v>10500</c:v>
                </c:pt>
                <c:pt idx="16">
                  <c:v>10600</c:v>
                </c:pt>
                <c:pt idx="17">
                  <c:v>10700</c:v>
                </c:pt>
                <c:pt idx="18">
                  <c:v>10800</c:v>
                </c:pt>
                <c:pt idx="19">
                  <c:v>10900</c:v>
                </c:pt>
                <c:pt idx="20">
                  <c:v>11000</c:v>
                </c:pt>
                <c:pt idx="21">
                  <c:v>11100</c:v>
                </c:pt>
                <c:pt idx="22">
                  <c:v>11200</c:v>
                </c:pt>
                <c:pt idx="23">
                  <c:v>11300</c:v>
                </c:pt>
                <c:pt idx="24">
                  <c:v>11400</c:v>
                </c:pt>
                <c:pt idx="25">
                  <c:v>11500</c:v>
                </c:pt>
                <c:pt idx="26">
                  <c:v>11600</c:v>
                </c:pt>
                <c:pt idx="27">
                  <c:v>11700</c:v>
                </c:pt>
                <c:pt idx="28">
                  <c:v>11800</c:v>
                </c:pt>
                <c:pt idx="29">
                  <c:v>11900</c:v>
                </c:pt>
                <c:pt idx="30">
                  <c:v>12000</c:v>
                </c:pt>
                <c:pt idx="31">
                  <c:v>12100</c:v>
                </c:pt>
                <c:pt idx="32">
                  <c:v>12200</c:v>
                </c:pt>
                <c:pt idx="33">
                  <c:v>12300</c:v>
                </c:pt>
                <c:pt idx="34">
                  <c:v>12400</c:v>
                </c:pt>
                <c:pt idx="35">
                  <c:v>12500</c:v>
                </c:pt>
                <c:pt idx="36">
                  <c:v>12600</c:v>
                </c:pt>
                <c:pt idx="37">
                  <c:v>12700</c:v>
                </c:pt>
                <c:pt idx="38">
                  <c:v>12800</c:v>
                </c:pt>
                <c:pt idx="39">
                  <c:v>12900</c:v>
                </c:pt>
                <c:pt idx="40">
                  <c:v>13000</c:v>
                </c:pt>
                <c:pt idx="41">
                  <c:v>13100</c:v>
                </c:pt>
                <c:pt idx="42">
                  <c:v>13200</c:v>
                </c:pt>
                <c:pt idx="43">
                  <c:v>13300</c:v>
                </c:pt>
                <c:pt idx="44">
                  <c:v>13400</c:v>
                </c:pt>
                <c:pt idx="45">
                  <c:v>13500</c:v>
                </c:pt>
                <c:pt idx="46">
                  <c:v>13600</c:v>
                </c:pt>
                <c:pt idx="47">
                  <c:v>13700</c:v>
                </c:pt>
                <c:pt idx="48">
                  <c:v>13800</c:v>
                </c:pt>
                <c:pt idx="49">
                  <c:v>13900</c:v>
                </c:pt>
                <c:pt idx="50">
                  <c:v>14000</c:v>
                </c:pt>
                <c:pt idx="51">
                  <c:v>14100</c:v>
                </c:pt>
                <c:pt idx="52">
                  <c:v>14200</c:v>
                </c:pt>
                <c:pt idx="53">
                  <c:v>14300</c:v>
                </c:pt>
                <c:pt idx="54">
                  <c:v>14400</c:v>
                </c:pt>
              </c:numCache>
            </c:numRef>
          </c:cat>
          <c:val>
            <c:numRef>
              <c:f>Sheet1!$G$3:$G$57</c:f>
              <c:numCache>
                <c:formatCode>General</c:formatCode>
                <c:ptCount val="55"/>
                <c:pt idx="0">
                  <c:v>0</c:v>
                </c:pt>
                <c:pt idx="1">
                  <c:v>11.52</c:v>
                </c:pt>
                <c:pt idx="2">
                  <c:v>23.52</c:v>
                </c:pt>
                <c:pt idx="3">
                  <c:v>35.520000000000003</c:v>
                </c:pt>
                <c:pt idx="4">
                  <c:v>47.52</c:v>
                </c:pt>
                <c:pt idx="5">
                  <c:v>59.52</c:v>
                </c:pt>
                <c:pt idx="6">
                  <c:v>60</c:v>
                </c:pt>
                <c:pt idx="7">
                  <c:v>60</c:v>
                </c:pt>
                <c:pt idx="8">
                  <c:v>60</c:v>
                </c:pt>
                <c:pt idx="9">
                  <c:v>60</c:v>
                </c:pt>
                <c:pt idx="10">
                  <c:v>60</c:v>
                </c:pt>
                <c:pt idx="11">
                  <c:v>60</c:v>
                </c:pt>
                <c:pt idx="12">
                  <c:v>60</c:v>
                </c:pt>
                <c:pt idx="13">
                  <c:v>60</c:v>
                </c:pt>
                <c:pt idx="14">
                  <c:v>60</c:v>
                </c:pt>
                <c:pt idx="15">
                  <c:v>60</c:v>
                </c:pt>
                <c:pt idx="16">
                  <c:v>60</c:v>
                </c:pt>
                <c:pt idx="17">
                  <c:v>60</c:v>
                </c:pt>
                <c:pt idx="18">
                  <c:v>60</c:v>
                </c:pt>
                <c:pt idx="19">
                  <c:v>60</c:v>
                </c:pt>
                <c:pt idx="20">
                  <c:v>60</c:v>
                </c:pt>
                <c:pt idx="21">
                  <c:v>60</c:v>
                </c:pt>
                <c:pt idx="22">
                  <c:v>60</c:v>
                </c:pt>
                <c:pt idx="23">
                  <c:v>60</c:v>
                </c:pt>
                <c:pt idx="24">
                  <c:v>60</c:v>
                </c:pt>
                <c:pt idx="25">
                  <c:v>60</c:v>
                </c:pt>
                <c:pt idx="26">
                  <c:v>60</c:v>
                </c:pt>
                <c:pt idx="27">
                  <c:v>60</c:v>
                </c:pt>
                <c:pt idx="28">
                  <c:v>60</c:v>
                </c:pt>
                <c:pt idx="29">
                  <c:v>60</c:v>
                </c:pt>
                <c:pt idx="30">
                  <c:v>60</c:v>
                </c:pt>
                <c:pt idx="31">
                  <c:v>60</c:v>
                </c:pt>
                <c:pt idx="32">
                  <c:v>60</c:v>
                </c:pt>
                <c:pt idx="33">
                  <c:v>60</c:v>
                </c:pt>
                <c:pt idx="34">
                  <c:v>60</c:v>
                </c:pt>
                <c:pt idx="35">
                  <c:v>60</c:v>
                </c:pt>
                <c:pt idx="36">
                  <c:v>60</c:v>
                </c:pt>
                <c:pt idx="37">
                  <c:v>60</c:v>
                </c:pt>
                <c:pt idx="38">
                  <c:v>60</c:v>
                </c:pt>
                <c:pt idx="39">
                  <c:v>60</c:v>
                </c:pt>
                <c:pt idx="40">
                  <c:v>60</c:v>
                </c:pt>
                <c:pt idx="41">
                  <c:v>60</c:v>
                </c:pt>
                <c:pt idx="42">
                  <c:v>60</c:v>
                </c:pt>
                <c:pt idx="43">
                  <c:v>60</c:v>
                </c:pt>
                <c:pt idx="44">
                  <c:v>60</c:v>
                </c:pt>
                <c:pt idx="45">
                  <c:v>60</c:v>
                </c:pt>
                <c:pt idx="46">
                  <c:v>60</c:v>
                </c:pt>
                <c:pt idx="47">
                  <c:v>60</c:v>
                </c:pt>
                <c:pt idx="48">
                  <c:v>60</c:v>
                </c:pt>
                <c:pt idx="49">
                  <c:v>60</c:v>
                </c:pt>
                <c:pt idx="50">
                  <c:v>60</c:v>
                </c:pt>
                <c:pt idx="51">
                  <c:v>60</c:v>
                </c:pt>
                <c:pt idx="52">
                  <c:v>60</c:v>
                </c:pt>
                <c:pt idx="53">
                  <c:v>60</c:v>
                </c:pt>
                <c:pt idx="54">
                  <c:v>60</c:v>
                </c:pt>
              </c:numCache>
            </c:numRef>
          </c:val>
        </c:ser>
        <c:ser>
          <c:idx val="3"/>
          <c:order val="3"/>
          <c:tx>
            <c:strRef>
              <c:f>Sheet1!$H$2</c:f>
              <c:strCache>
                <c:ptCount val="1"/>
                <c:pt idx="0">
                  <c:v>Cut to Universal Credit</c:v>
                </c:pt>
              </c:strCache>
            </c:strRef>
          </c:tx>
          <c:marker>
            <c:symbol val="none"/>
          </c:marker>
          <c:cat>
            <c:numRef>
              <c:f>Sheet1!$D$3:$D$57</c:f>
              <c:numCache>
                <c:formatCode>"£"#,##0</c:formatCode>
                <c:ptCount val="55"/>
                <c:pt idx="0">
                  <c:v>9004</c:v>
                </c:pt>
                <c:pt idx="1">
                  <c:v>9100</c:v>
                </c:pt>
                <c:pt idx="2">
                  <c:v>9200</c:v>
                </c:pt>
                <c:pt idx="3">
                  <c:v>9300</c:v>
                </c:pt>
                <c:pt idx="4">
                  <c:v>9400</c:v>
                </c:pt>
                <c:pt idx="5">
                  <c:v>9500</c:v>
                </c:pt>
                <c:pt idx="6">
                  <c:v>9600</c:v>
                </c:pt>
                <c:pt idx="7">
                  <c:v>9700</c:v>
                </c:pt>
                <c:pt idx="8">
                  <c:v>9800</c:v>
                </c:pt>
                <c:pt idx="9">
                  <c:v>9900</c:v>
                </c:pt>
                <c:pt idx="10">
                  <c:v>10000</c:v>
                </c:pt>
                <c:pt idx="11">
                  <c:v>10100</c:v>
                </c:pt>
                <c:pt idx="12">
                  <c:v>10200</c:v>
                </c:pt>
                <c:pt idx="13">
                  <c:v>10300</c:v>
                </c:pt>
                <c:pt idx="14">
                  <c:v>10400</c:v>
                </c:pt>
                <c:pt idx="15">
                  <c:v>10500</c:v>
                </c:pt>
                <c:pt idx="16">
                  <c:v>10600</c:v>
                </c:pt>
                <c:pt idx="17">
                  <c:v>10700</c:v>
                </c:pt>
                <c:pt idx="18">
                  <c:v>10800</c:v>
                </c:pt>
                <c:pt idx="19">
                  <c:v>10900</c:v>
                </c:pt>
                <c:pt idx="20">
                  <c:v>11000</c:v>
                </c:pt>
                <c:pt idx="21">
                  <c:v>11100</c:v>
                </c:pt>
                <c:pt idx="22">
                  <c:v>11200</c:v>
                </c:pt>
                <c:pt idx="23">
                  <c:v>11300</c:v>
                </c:pt>
                <c:pt idx="24">
                  <c:v>11400</c:v>
                </c:pt>
                <c:pt idx="25">
                  <c:v>11500</c:v>
                </c:pt>
                <c:pt idx="26">
                  <c:v>11600</c:v>
                </c:pt>
                <c:pt idx="27">
                  <c:v>11700</c:v>
                </c:pt>
                <c:pt idx="28">
                  <c:v>11800</c:v>
                </c:pt>
                <c:pt idx="29">
                  <c:v>11900</c:v>
                </c:pt>
                <c:pt idx="30">
                  <c:v>12000</c:v>
                </c:pt>
                <c:pt idx="31">
                  <c:v>12100</c:v>
                </c:pt>
                <c:pt idx="32">
                  <c:v>12200</c:v>
                </c:pt>
                <c:pt idx="33">
                  <c:v>12300</c:v>
                </c:pt>
                <c:pt idx="34">
                  <c:v>12400</c:v>
                </c:pt>
                <c:pt idx="35">
                  <c:v>12500</c:v>
                </c:pt>
                <c:pt idx="36">
                  <c:v>12600</c:v>
                </c:pt>
                <c:pt idx="37">
                  <c:v>12700</c:v>
                </c:pt>
                <c:pt idx="38">
                  <c:v>12800</c:v>
                </c:pt>
                <c:pt idx="39">
                  <c:v>12900</c:v>
                </c:pt>
                <c:pt idx="40">
                  <c:v>13000</c:v>
                </c:pt>
                <c:pt idx="41">
                  <c:v>13100</c:v>
                </c:pt>
                <c:pt idx="42">
                  <c:v>13200</c:v>
                </c:pt>
                <c:pt idx="43">
                  <c:v>13300</c:v>
                </c:pt>
                <c:pt idx="44">
                  <c:v>13400</c:v>
                </c:pt>
                <c:pt idx="45">
                  <c:v>13500</c:v>
                </c:pt>
                <c:pt idx="46">
                  <c:v>13600</c:v>
                </c:pt>
                <c:pt idx="47">
                  <c:v>13700</c:v>
                </c:pt>
                <c:pt idx="48">
                  <c:v>13800</c:v>
                </c:pt>
                <c:pt idx="49">
                  <c:v>13900</c:v>
                </c:pt>
                <c:pt idx="50">
                  <c:v>14000</c:v>
                </c:pt>
                <c:pt idx="51">
                  <c:v>14100</c:v>
                </c:pt>
                <c:pt idx="52">
                  <c:v>14200</c:v>
                </c:pt>
                <c:pt idx="53">
                  <c:v>14300</c:v>
                </c:pt>
                <c:pt idx="54">
                  <c:v>14400</c:v>
                </c:pt>
              </c:numCache>
            </c:numRef>
          </c:cat>
          <c:val>
            <c:numRef>
              <c:f>Sheet1!$H$3:$H$57</c:f>
              <c:numCache>
                <c:formatCode>0.00</c:formatCode>
                <c:ptCount val="55"/>
                <c:pt idx="0" formatCode="General">
                  <c:v>315</c:v>
                </c:pt>
                <c:pt idx="1">
                  <c:v>307.74240000000032</c:v>
                </c:pt>
                <c:pt idx="2">
                  <c:v>300.18240000000031</c:v>
                </c:pt>
                <c:pt idx="3">
                  <c:v>292.62240000000008</c:v>
                </c:pt>
                <c:pt idx="4">
                  <c:v>285.06240000000008</c:v>
                </c:pt>
                <c:pt idx="5">
                  <c:v>277.50240000000002</c:v>
                </c:pt>
                <c:pt idx="6">
                  <c:v>277.2</c:v>
                </c:pt>
                <c:pt idx="7">
                  <c:v>277.2</c:v>
                </c:pt>
                <c:pt idx="8">
                  <c:v>277.2</c:v>
                </c:pt>
                <c:pt idx="9">
                  <c:v>277.2</c:v>
                </c:pt>
                <c:pt idx="10">
                  <c:v>277.2</c:v>
                </c:pt>
                <c:pt idx="11">
                  <c:v>277.2</c:v>
                </c:pt>
                <c:pt idx="12">
                  <c:v>277.2</c:v>
                </c:pt>
                <c:pt idx="13">
                  <c:v>277.2</c:v>
                </c:pt>
                <c:pt idx="14">
                  <c:v>277.2</c:v>
                </c:pt>
                <c:pt idx="15">
                  <c:v>277.2</c:v>
                </c:pt>
                <c:pt idx="16">
                  <c:v>277.2</c:v>
                </c:pt>
                <c:pt idx="17">
                  <c:v>277.2</c:v>
                </c:pt>
                <c:pt idx="18">
                  <c:v>277.2</c:v>
                </c:pt>
                <c:pt idx="19">
                  <c:v>277.2</c:v>
                </c:pt>
                <c:pt idx="20">
                  <c:v>277.2</c:v>
                </c:pt>
                <c:pt idx="21">
                  <c:v>277.2</c:v>
                </c:pt>
                <c:pt idx="22">
                  <c:v>277.2</c:v>
                </c:pt>
                <c:pt idx="23">
                  <c:v>277.2</c:v>
                </c:pt>
                <c:pt idx="24">
                  <c:v>277.2</c:v>
                </c:pt>
                <c:pt idx="25">
                  <c:v>277.2</c:v>
                </c:pt>
                <c:pt idx="26">
                  <c:v>277.2</c:v>
                </c:pt>
                <c:pt idx="27">
                  <c:v>277.2</c:v>
                </c:pt>
                <c:pt idx="28">
                  <c:v>277.2</c:v>
                </c:pt>
                <c:pt idx="29">
                  <c:v>277.2</c:v>
                </c:pt>
                <c:pt idx="30">
                  <c:v>277.2</c:v>
                </c:pt>
                <c:pt idx="31">
                  <c:v>264.60000000000002</c:v>
                </c:pt>
                <c:pt idx="32">
                  <c:v>252</c:v>
                </c:pt>
                <c:pt idx="33">
                  <c:v>239.4</c:v>
                </c:pt>
                <c:pt idx="34">
                  <c:v>226.8</c:v>
                </c:pt>
                <c:pt idx="35">
                  <c:v>214.2</c:v>
                </c:pt>
                <c:pt idx="36">
                  <c:v>214.2</c:v>
                </c:pt>
                <c:pt idx="37">
                  <c:v>214.2</c:v>
                </c:pt>
                <c:pt idx="38">
                  <c:v>214.2</c:v>
                </c:pt>
                <c:pt idx="39">
                  <c:v>214.2</c:v>
                </c:pt>
                <c:pt idx="40">
                  <c:v>214.2</c:v>
                </c:pt>
                <c:pt idx="41">
                  <c:v>214.2</c:v>
                </c:pt>
                <c:pt idx="42">
                  <c:v>214.2</c:v>
                </c:pt>
                <c:pt idx="43">
                  <c:v>214.2</c:v>
                </c:pt>
                <c:pt idx="44">
                  <c:v>214.2</c:v>
                </c:pt>
                <c:pt idx="45">
                  <c:v>214.2</c:v>
                </c:pt>
                <c:pt idx="46">
                  <c:v>214.2</c:v>
                </c:pt>
                <c:pt idx="47">
                  <c:v>214.2</c:v>
                </c:pt>
                <c:pt idx="48">
                  <c:v>214.2</c:v>
                </c:pt>
                <c:pt idx="49">
                  <c:v>214.2</c:v>
                </c:pt>
                <c:pt idx="50">
                  <c:v>214.2</c:v>
                </c:pt>
                <c:pt idx="51">
                  <c:v>214.2</c:v>
                </c:pt>
                <c:pt idx="52">
                  <c:v>214.2</c:v>
                </c:pt>
                <c:pt idx="53">
                  <c:v>214.2</c:v>
                </c:pt>
                <c:pt idx="54">
                  <c:v>214.2</c:v>
                </c:pt>
              </c:numCache>
            </c:numRef>
          </c:val>
        </c:ser>
        <c:ser>
          <c:idx val="4"/>
          <c:order val="4"/>
          <c:tx>
            <c:strRef>
              <c:f>Sheet1!$I$2</c:f>
              <c:strCache>
                <c:ptCount val="1"/>
                <c:pt idx="0">
                  <c:v>Actual cash received</c:v>
                </c:pt>
              </c:strCache>
            </c:strRef>
          </c:tx>
          <c:marker>
            <c:symbol val="none"/>
          </c:marker>
          <c:cat>
            <c:numRef>
              <c:f>Sheet1!$D$3:$D$57</c:f>
              <c:numCache>
                <c:formatCode>"£"#,##0</c:formatCode>
                <c:ptCount val="55"/>
                <c:pt idx="0">
                  <c:v>9004</c:v>
                </c:pt>
                <c:pt idx="1">
                  <c:v>9100</c:v>
                </c:pt>
                <c:pt idx="2">
                  <c:v>9200</c:v>
                </c:pt>
                <c:pt idx="3">
                  <c:v>9300</c:v>
                </c:pt>
                <c:pt idx="4">
                  <c:v>9400</c:v>
                </c:pt>
                <c:pt idx="5">
                  <c:v>9500</c:v>
                </c:pt>
                <c:pt idx="6">
                  <c:v>9600</c:v>
                </c:pt>
                <c:pt idx="7">
                  <c:v>9700</c:v>
                </c:pt>
                <c:pt idx="8">
                  <c:v>9800</c:v>
                </c:pt>
                <c:pt idx="9">
                  <c:v>9900</c:v>
                </c:pt>
                <c:pt idx="10">
                  <c:v>10000</c:v>
                </c:pt>
                <c:pt idx="11">
                  <c:v>10100</c:v>
                </c:pt>
                <c:pt idx="12">
                  <c:v>10200</c:v>
                </c:pt>
                <c:pt idx="13">
                  <c:v>10300</c:v>
                </c:pt>
                <c:pt idx="14">
                  <c:v>10400</c:v>
                </c:pt>
                <c:pt idx="15">
                  <c:v>10500</c:v>
                </c:pt>
                <c:pt idx="16">
                  <c:v>10600</c:v>
                </c:pt>
                <c:pt idx="17">
                  <c:v>10700</c:v>
                </c:pt>
                <c:pt idx="18">
                  <c:v>10800</c:v>
                </c:pt>
                <c:pt idx="19">
                  <c:v>10900</c:v>
                </c:pt>
                <c:pt idx="20">
                  <c:v>11000</c:v>
                </c:pt>
                <c:pt idx="21">
                  <c:v>11100</c:v>
                </c:pt>
                <c:pt idx="22">
                  <c:v>11200</c:v>
                </c:pt>
                <c:pt idx="23">
                  <c:v>11300</c:v>
                </c:pt>
                <c:pt idx="24">
                  <c:v>11400</c:v>
                </c:pt>
                <c:pt idx="25">
                  <c:v>11500</c:v>
                </c:pt>
                <c:pt idx="26">
                  <c:v>11600</c:v>
                </c:pt>
                <c:pt idx="27">
                  <c:v>11700</c:v>
                </c:pt>
                <c:pt idx="28">
                  <c:v>11800</c:v>
                </c:pt>
                <c:pt idx="29">
                  <c:v>11900</c:v>
                </c:pt>
                <c:pt idx="30">
                  <c:v>12000</c:v>
                </c:pt>
                <c:pt idx="31">
                  <c:v>12100</c:v>
                </c:pt>
                <c:pt idx="32">
                  <c:v>12200</c:v>
                </c:pt>
                <c:pt idx="33">
                  <c:v>12300</c:v>
                </c:pt>
                <c:pt idx="34">
                  <c:v>12400</c:v>
                </c:pt>
                <c:pt idx="35">
                  <c:v>12500</c:v>
                </c:pt>
                <c:pt idx="36">
                  <c:v>12600</c:v>
                </c:pt>
                <c:pt idx="37">
                  <c:v>12700</c:v>
                </c:pt>
                <c:pt idx="38">
                  <c:v>12800</c:v>
                </c:pt>
                <c:pt idx="39">
                  <c:v>12900</c:v>
                </c:pt>
                <c:pt idx="40">
                  <c:v>13000</c:v>
                </c:pt>
                <c:pt idx="41">
                  <c:v>13100</c:v>
                </c:pt>
                <c:pt idx="42">
                  <c:v>13200</c:v>
                </c:pt>
                <c:pt idx="43">
                  <c:v>13300</c:v>
                </c:pt>
                <c:pt idx="44">
                  <c:v>13400</c:v>
                </c:pt>
                <c:pt idx="45">
                  <c:v>13500</c:v>
                </c:pt>
                <c:pt idx="46">
                  <c:v>13600</c:v>
                </c:pt>
                <c:pt idx="47">
                  <c:v>13700</c:v>
                </c:pt>
                <c:pt idx="48">
                  <c:v>13800</c:v>
                </c:pt>
                <c:pt idx="49">
                  <c:v>13900</c:v>
                </c:pt>
                <c:pt idx="50">
                  <c:v>14000</c:v>
                </c:pt>
                <c:pt idx="51">
                  <c:v>14100</c:v>
                </c:pt>
                <c:pt idx="52">
                  <c:v>14200</c:v>
                </c:pt>
                <c:pt idx="53">
                  <c:v>14300</c:v>
                </c:pt>
                <c:pt idx="54">
                  <c:v>14400</c:v>
                </c:pt>
              </c:numCache>
            </c:numRef>
          </c:cat>
          <c:val>
            <c:numRef>
              <c:f>Sheet1!$I$3:$I$57</c:f>
              <c:numCache>
                <c:formatCode>0.00</c:formatCode>
                <c:ptCount val="55"/>
                <c:pt idx="0">
                  <c:v>185</c:v>
                </c:pt>
                <c:pt idx="1">
                  <c:v>180.73759999999999</c:v>
                </c:pt>
                <c:pt idx="2">
                  <c:v>176.29759999999999</c:v>
                </c:pt>
                <c:pt idx="3">
                  <c:v>171.85760000000013</c:v>
                </c:pt>
                <c:pt idx="4">
                  <c:v>167.41759999999999</c:v>
                </c:pt>
                <c:pt idx="5">
                  <c:v>162.9776</c:v>
                </c:pt>
                <c:pt idx="6">
                  <c:v>162.80000000000001</c:v>
                </c:pt>
                <c:pt idx="7">
                  <c:v>162.80000000000001</c:v>
                </c:pt>
                <c:pt idx="8">
                  <c:v>162.80000000000001</c:v>
                </c:pt>
                <c:pt idx="9">
                  <c:v>162.80000000000001</c:v>
                </c:pt>
                <c:pt idx="10">
                  <c:v>162.80000000000001</c:v>
                </c:pt>
                <c:pt idx="11">
                  <c:v>162.80000000000001</c:v>
                </c:pt>
                <c:pt idx="12">
                  <c:v>162.80000000000001</c:v>
                </c:pt>
                <c:pt idx="13">
                  <c:v>162.80000000000001</c:v>
                </c:pt>
                <c:pt idx="14">
                  <c:v>162.80000000000001</c:v>
                </c:pt>
                <c:pt idx="15">
                  <c:v>162.80000000000001</c:v>
                </c:pt>
                <c:pt idx="16">
                  <c:v>162.80000000000001</c:v>
                </c:pt>
                <c:pt idx="17">
                  <c:v>162.80000000000001</c:v>
                </c:pt>
                <c:pt idx="18">
                  <c:v>162.80000000000001</c:v>
                </c:pt>
                <c:pt idx="19">
                  <c:v>162.80000000000001</c:v>
                </c:pt>
                <c:pt idx="20">
                  <c:v>162.80000000000001</c:v>
                </c:pt>
                <c:pt idx="21">
                  <c:v>162.80000000000001</c:v>
                </c:pt>
                <c:pt idx="22">
                  <c:v>162.80000000000001</c:v>
                </c:pt>
                <c:pt idx="23">
                  <c:v>162.80000000000001</c:v>
                </c:pt>
                <c:pt idx="24">
                  <c:v>162.80000000000001</c:v>
                </c:pt>
                <c:pt idx="25">
                  <c:v>162.80000000000001</c:v>
                </c:pt>
                <c:pt idx="26">
                  <c:v>162.80000000000001</c:v>
                </c:pt>
                <c:pt idx="27">
                  <c:v>162.80000000000001</c:v>
                </c:pt>
                <c:pt idx="28">
                  <c:v>162.80000000000001</c:v>
                </c:pt>
                <c:pt idx="29">
                  <c:v>162.80000000000001</c:v>
                </c:pt>
                <c:pt idx="30">
                  <c:v>162.80000000000001</c:v>
                </c:pt>
                <c:pt idx="31">
                  <c:v>155.4</c:v>
                </c:pt>
                <c:pt idx="32">
                  <c:v>148</c:v>
                </c:pt>
                <c:pt idx="33">
                  <c:v>140.6</c:v>
                </c:pt>
                <c:pt idx="34">
                  <c:v>133.19999999999999</c:v>
                </c:pt>
                <c:pt idx="35">
                  <c:v>125.80000000000001</c:v>
                </c:pt>
                <c:pt idx="36">
                  <c:v>125.80000000000001</c:v>
                </c:pt>
                <c:pt idx="37">
                  <c:v>125.80000000000001</c:v>
                </c:pt>
                <c:pt idx="38">
                  <c:v>125.80000000000001</c:v>
                </c:pt>
                <c:pt idx="39">
                  <c:v>125.80000000000001</c:v>
                </c:pt>
                <c:pt idx="40">
                  <c:v>125.80000000000001</c:v>
                </c:pt>
                <c:pt idx="41">
                  <c:v>125.80000000000001</c:v>
                </c:pt>
                <c:pt idx="42">
                  <c:v>125.80000000000001</c:v>
                </c:pt>
                <c:pt idx="43">
                  <c:v>125.80000000000001</c:v>
                </c:pt>
                <c:pt idx="44">
                  <c:v>125.80000000000001</c:v>
                </c:pt>
                <c:pt idx="45">
                  <c:v>125.80000000000001</c:v>
                </c:pt>
                <c:pt idx="46">
                  <c:v>125.80000000000001</c:v>
                </c:pt>
                <c:pt idx="47">
                  <c:v>125.80000000000001</c:v>
                </c:pt>
                <c:pt idx="48">
                  <c:v>125.80000000000001</c:v>
                </c:pt>
                <c:pt idx="49">
                  <c:v>125.80000000000001</c:v>
                </c:pt>
                <c:pt idx="50">
                  <c:v>125.80000000000001</c:v>
                </c:pt>
                <c:pt idx="51">
                  <c:v>125.80000000000001</c:v>
                </c:pt>
                <c:pt idx="52">
                  <c:v>125.80000000000001</c:v>
                </c:pt>
                <c:pt idx="53">
                  <c:v>125.80000000000001</c:v>
                </c:pt>
                <c:pt idx="54">
                  <c:v>125.80000000000001</c:v>
                </c:pt>
              </c:numCache>
            </c:numRef>
          </c:val>
        </c:ser>
        <c:marker val="1"/>
        <c:axId val="99235328"/>
        <c:axId val="99237248"/>
      </c:lineChart>
      <c:catAx>
        <c:axId val="99235328"/>
        <c:scaling>
          <c:orientation val="minMax"/>
        </c:scaling>
        <c:axPos val="b"/>
        <c:title>
          <c:tx>
            <c:rich>
              <a:bodyPr/>
              <a:lstStyle/>
              <a:p>
                <a:pPr>
                  <a:defRPr/>
                </a:pPr>
                <a:r>
                  <a:rPr lang="en-US"/>
                  <a:t>Gross Income</a:t>
                </a:r>
              </a:p>
            </c:rich>
          </c:tx>
        </c:title>
        <c:numFmt formatCode="&quot;£&quot;#,##0" sourceLinked="1"/>
        <c:tickLblPos val="nextTo"/>
        <c:crossAx val="99237248"/>
        <c:crosses val="autoZero"/>
        <c:auto val="1"/>
        <c:lblAlgn val="ctr"/>
        <c:lblOffset val="100"/>
      </c:catAx>
      <c:valAx>
        <c:axId val="99237248"/>
        <c:scaling>
          <c:orientation val="minMax"/>
        </c:scaling>
        <c:axPos val="l"/>
        <c:majorGridlines/>
        <c:title>
          <c:tx>
            <c:rich>
              <a:bodyPr rot="0" vert="horz"/>
              <a:lstStyle/>
              <a:p>
                <a:pPr>
                  <a:defRPr/>
                </a:pPr>
                <a:r>
                  <a:rPr lang="en-GB"/>
                  <a:t>Payment breakdown</a:t>
                </a:r>
              </a:p>
              <a:p>
                <a:pPr>
                  <a:defRPr/>
                </a:pPr>
                <a:endParaRPr lang="en-GB"/>
              </a:p>
            </c:rich>
          </c:tx>
        </c:title>
        <c:numFmt formatCode="&quot;£&quot;#,##0.00" sourceLinked="1"/>
        <c:tickLblPos val="nextTo"/>
        <c:crossAx val="99235328"/>
        <c:crosses val="autoZero"/>
        <c:crossBetween val="between"/>
      </c:valAx>
    </c:plotArea>
    <c:legend>
      <c:legendPos val="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NONE</cp:lastModifiedBy>
  <cp:revision>3</cp:revision>
  <dcterms:created xsi:type="dcterms:W3CDTF">2020-06-25T10:14:00Z</dcterms:created>
  <dcterms:modified xsi:type="dcterms:W3CDTF">2020-06-25T10:18:00Z</dcterms:modified>
</cp:coreProperties>
</file>